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bCs/>
          <w:sz w:val="36"/>
          <w:szCs w:val="44"/>
        </w:rPr>
      </w:pPr>
    </w:p>
    <w:p>
      <w:pPr>
        <w:ind w:firstLine="0" w:firstLineChars="0"/>
        <w:jc w:val="both"/>
        <w:rPr>
          <w:rFonts w:ascii="黑体" w:hAnsi="黑体" w:eastAsia="黑体" w:cs="黑体"/>
          <w:bCs/>
          <w:szCs w:val="32"/>
        </w:rPr>
      </w:pPr>
      <w:r>
        <w:rPr>
          <w:rFonts w:hint="eastAsia" w:ascii="黑体" w:hAnsi="黑体" w:eastAsia="黑体" w:cs="黑体"/>
          <w:bCs/>
          <w:szCs w:val="32"/>
        </w:rPr>
        <w:drawing>
          <wp:inline distT="0" distB="0" distL="114300" distR="114300">
            <wp:extent cx="5271770" cy="8181975"/>
            <wp:effectExtent l="0" t="0" r="5080" b="9525"/>
            <wp:docPr id="2" name="图片 2" descr="C6ECAA9BF89A8C2A123D707F5C5954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6ECAA9BF89A8C2A123D707F5C5954D5"/>
                    <pic:cNvPicPr>
                      <a:picLocks noChangeAspect="1"/>
                    </pic:cNvPicPr>
                  </pic:nvPicPr>
                  <pic:blipFill>
                    <a:blip r:embed="rId11"/>
                    <a:stretch>
                      <a:fillRect/>
                    </a:stretch>
                  </pic:blipFill>
                  <pic:spPr>
                    <a:xfrm>
                      <a:off x="0" y="0"/>
                      <a:ext cx="5271770" cy="8181975"/>
                    </a:xfrm>
                    <a:prstGeom prst="rect">
                      <a:avLst/>
                    </a:prstGeom>
                  </pic:spPr>
                </pic:pic>
              </a:graphicData>
            </a:graphic>
          </wp:inline>
        </w:drawing>
      </w:r>
      <w:r>
        <w:rPr>
          <w:rFonts w:hint="eastAsia" w:ascii="黑体" w:hAnsi="黑体" w:eastAsia="黑体" w:cs="黑体"/>
          <w:bCs/>
          <w:szCs w:val="32"/>
        </w:rPr>
        <w:br w:type="page"/>
      </w:r>
    </w:p>
    <w:p>
      <w:pPr>
        <w:ind w:firstLine="0" w:firstLineChars="0"/>
        <w:jc w:val="center"/>
        <w:rPr>
          <w:rFonts w:ascii="黑体" w:hAnsi="黑体" w:eastAsia="黑体" w:cs="黑体"/>
          <w:bCs/>
          <w:sz w:val="36"/>
          <w:szCs w:val="36"/>
        </w:rPr>
      </w:pPr>
      <w:r>
        <w:rPr>
          <w:rFonts w:hint="eastAsia" w:ascii="黑体" w:hAnsi="黑体" w:eastAsia="黑体" w:cs="黑体"/>
          <w:bCs/>
          <w:sz w:val="36"/>
          <w:szCs w:val="36"/>
        </w:rPr>
        <w:t>目 录</w:t>
      </w:r>
    </w:p>
    <w:sdt>
      <w:sdtPr>
        <w:rPr>
          <w:rFonts w:ascii="宋体" w:hAnsi="宋体" w:eastAsia="宋体"/>
          <w:kern w:val="0"/>
          <w:sz w:val="21"/>
          <w:szCs w:val="20"/>
        </w:rPr>
        <w:id w:val="-1777396869"/>
        <w:docPartObj>
          <w:docPartGallery w:val="Table of Contents"/>
          <w:docPartUnique/>
        </w:docPartObj>
      </w:sdtPr>
      <w:sdtEndPr>
        <w:rPr>
          <w:rFonts w:hint="eastAsia" w:ascii="宋体" w:hAnsi="宋体" w:eastAsia="宋体" w:cs="宋体"/>
          <w:b/>
          <w:bCs/>
          <w:kern w:val="0"/>
          <w:sz w:val="24"/>
          <w:szCs w:val="20"/>
        </w:rPr>
      </w:sdtEndPr>
      <w:sdtContent>
        <w:p>
          <w:pPr>
            <w:ind w:firstLine="0" w:firstLineChars="0"/>
            <w:jc w:val="center"/>
          </w:pPr>
          <w:bookmarkStart w:id="0" w:name="_Toc25207_WPSOffice_Type2"/>
        </w:p>
        <w:p>
          <w:pPr>
            <w:pStyle w:val="16"/>
            <w:tabs>
              <w:tab w:val="right" w:leader="dot" w:pos="8306"/>
            </w:tabs>
            <w:spacing w:line="360" w:lineRule="auto"/>
            <w:rPr>
              <w:rFonts w:ascii="宋体" w:hAnsi="宋体" w:cs="宋体"/>
              <w:sz w:val="24"/>
              <w:szCs w:val="24"/>
            </w:rPr>
          </w:pPr>
          <w:r>
            <w:fldChar w:fldCharType="begin"/>
          </w:r>
          <w:r>
            <w:instrText xml:space="preserve"> HYPERLINK \l "_Toc4893_WPSOffice_Level1" </w:instrText>
          </w:r>
          <w:r>
            <w:fldChar w:fldCharType="separate"/>
          </w:r>
          <w:sdt>
            <w:sdtPr>
              <w:rPr>
                <w:rFonts w:hint="eastAsia" w:ascii="宋体" w:hAnsi="宋体" w:cs="宋体"/>
                <w:b/>
                <w:bCs/>
                <w:kern w:val="2"/>
                <w:sz w:val="24"/>
                <w:szCs w:val="24"/>
              </w:rPr>
              <w:id w:val="147457961"/>
              <w:placeholder>
                <w:docPart w:val="{4f185b77-9182-49a1-bbbb-6612f7aa1f15}"/>
              </w:placeholder>
            </w:sdtPr>
            <w:sdtEndPr>
              <w:rPr>
                <w:rFonts w:hint="eastAsia" w:ascii="宋体" w:hAnsi="宋体" w:cs="宋体"/>
                <w:b/>
                <w:bCs/>
                <w:kern w:val="2"/>
                <w:sz w:val="24"/>
                <w:szCs w:val="24"/>
              </w:rPr>
            </w:sdtEndPr>
            <w:sdtContent>
              <w:r>
                <w:rPr>
                  <w:rFonts w:hint="eastAsia" w:ascii="宋体" w:hAnsi="宋体" w:cs="宋体"/>
                  <w:b/>
                  <w:bCs/>
                  <w:sz w:val="24"/>
                  <w:szCs w:val="24"/>
                </w:rPr>
                <w:t>一、基本情况</w:t>
              </w:r>
            </w:sdtContent>
          </w:sdt>
          <w:r>
            <w:rPr>
              <w:rFonts w:hint="eastAsia" w:ascii="宋体" w:hAnsi="宋体" w:cs="宋体"/>
              <w:b/>
              <w:bCs/>
              <w:sz w:val="24"/>
              <w:szCs w:val="24"/>
            </w:rPr>
            <w:tab/>
          </w:r>
          <w:bookmarkStart w:id="1" w:name="_Toc4893_WPSOffice_Level1Page"/>
          <w:r>
            <w:rPr>
              <w:rFonts w:hint="eastAsia" w:ascii="宋体" w:hAnsi="宋体" w:cs="宋体"/>
              <w:b/>
              <w:bCs/>
              <w:sz w:val="24"/>
              <w:szCs w:val="24"/>
            </w:rPr>
            <w:t>1</w:t>
          </w:r>
          <w:bookmarkEnd w:id="1"/>
          <w:r>
            <w:rPr>
              <w:rFonts w:hint="eastAsia" w:ascii="宋体" w:hAnsi="宋体" w:cs="宋体"/>
              <w:b/>
              <w:bCs/>
              <w:sz w:val="24"/>
              <w:szCs w:val="24"/>
            </w:rPr>
            <w:fldChar w:fldCharType="end"/>
          </w:r>
        </w:p>
        <w:p>
          <w:pPr>
            <w:pStyle w:val="17"/>
            <w:tabs>
              <w:tab w:val="right" w:leader="dot" w:pos="8306"/>
            </w:tabs>
            <w:spacing w:line="360" w:lineRule="auto"/>
            <w:ind w:left="600"/>
            <w:rPr>
              <w:rFonts w:ascii="宋体" w:hAnsi="宋体" w:cs="宋体"/>
              <w:sz w:val="24"/>
              <w:szCs w:val="24"/>
            </w:rPr>
          </w:pPr>
          <w:r>
            <w:fldChar w:fldCharType="begin"/>
          </w:r>
          <w:r>
            <w:instrText xml:space="preserve"> HYPERLINK \l "_Toc25207_WPSOffice_Level2" </w:instrText>
          </w:r>
          <w:r>
            <w:fldChar w:fldCharType="separate"/>
          </w:r>
          <w:sdt>
            <w:sdtPr>
              <w:rPr>
                <w:rFonts w:hint="eastAsia" w:ascii="宋体" w:hAnsi="宋体" w:cs="宋体"/>
                <w:kern w:val="2"/>
                <w:sz w:val="24"/>
                <w:szCs w:val="24"/>
              </w:rPr>
              <w:id w:val="-2007812410"/>
              <w:placeholder>
                <w:docPart w:val="{4c208e5c-ab83-4b4a-a3cc-10f3fb7f0538}"/>
              </w:placeholder>
            </w:sdtPr>
            <w:sdtEndPr>
              <w:rPr>
                <w:rFonts w:hint="eastAsia" w:ascii="宋体" w:hAnsi="宋体" w:cs="宋体"/>
                <w:kern w:val="2"/>
                <w:sz w:val="24"/>
                <w:szCs w:val="24"/>
              </w:rPr>
            </w:sdtEndPr>
            <w:sdtContent>
              <w:r>
                <w:rPr>
                  <w:rFonts w:hint="eastAsia" w:ascii="宋体" w:hAnsi="宋体" w:cs="宋体"/>
                  <w:sz w:val="24"/>
                  <w:szCs w:val="24"/>
                </w:rPr>
                <w:t>（一）项目申请理由</w:t>
              </w:r>
            </w:sdtContent>
          </w:sdt>
          <w:r>
            <w:rPr>
              <w:rFonts w:hint="eastAsia" w:ascii="宋体" w:hAnsi="宋体" w:cs="宋体"/>
              <w:sz w:val="24"/>
              <w:szCs w:val="24"/>
            </w:rPr>
            <w:tab/>
          </w:r>
          <w:bookmarkStart w:id="2" w:name="_Toc25207_WPSOffice_Level2Page"/>
          <w:r>
            <w:rPr>
              <w:rFonts w:hint="eastAsia" w:ascii="宋体" w:hAnsi="宋体" w:cs="宋体"/>
              <w:sz w:val="24"/>
              <w:szCs w:val="24"/>
            </w:rPr>
            <w:t>1</w:t>
          </w:r>
          <w:bookmarkEnd w:id="2"/>
          <w:r>
            <w:rPr>
              <w:rFonts w:hint="eastAsia" w:ascii="宋体" w:hAnsi="宋体" w:cs="宋体"/>
              <w:sz w:val="24"/>
              <w:szCs w:val="24"/>
            </w:rPr>
            <w:fldChar w:fldCharType="end"/>
          </w:r>
        </w:p>
        <w:p>
          <w:pPr>
            <w:pStyle w:val="17"/>
            <w:tabs>
              <w:tab w:val="right" w:leader="dot" w:pos="8306"/>
            </w:tabs>
            <w:spacing w:line="360" w:lineRule="auto"/>
            <w:ind w:left="600"/>
            <w:rPr>
              <w:rFonts w:ascii="宋体" w:hAnsi="宋体" w:cs="宋体"/>
              <w:sz w:val="24"/>
              <w:szCs w:val="24"/>
            </w:rPr>
          </w:pPr>
          <w:r>
            <w:fldChar w:fldCharType="begin"/>
          </w:r>
          <w:r>
            <w:instrText xml:space="preserve"> HYPERLINK \l "_Toc441_WPSOffice_Level2" </w:instrText>
          </w:r>
          <w:r>
            <w:fldChar w:fldCharType="separate"/>
          </w:r>
          <w:sdt>
            <w:sdtPr>
              <w:rPr>
                <w:rFonts w:hint="eastAsia" w:ascii="宋体" w:hAnsi="宋体" w:cs="宋体"/>
                <w:kern w:val="2"/>
                <w:sz w:val="24"/>
                <w:szCs w:val="24"/>
              </w:rPr>
              <w:id w:val="-1657218651"/>
              <w:placeholder>
                <w:docPart w:val="{fa830a58-0081-4b18-a5c2-7b67577422a9}"/>
              </w:placeholder>
            </w:sdtPr>
            <w:sdtEndPr>
              <w:rPr>
                <w:rFonts w:hint="eastAsia" w:ascii="宋体" w:hAnsi="宋体" w:cs="宋体"/>
                <w:kern w:val="2"/>
                <w:sz w:val="24"/>
                <w:szCs w:val="24"/>
              </w:rPr>
            </w:sdtEndPr>
            <w:sdtContent>
              <w:r>
                <w:rPr>
                  <w:rFonts w:hint="eastAsia" w:ascii="宋体" w:hAnsi="宋体" w:cs="宋体"/>
                  <w:sz w:val="24"/>
                  <w:szCs w:val="24"/>
                </w:rPr>
                <w:t>（二）项目绩效目标</w:t>
              </w:r>
            </w:sdtContent>
          </w:sdt>
          <w:r>
            <w:rPr>
              <w:rFonts w:hint="eastAsia" w:ascii="宋体" w:hAnsi="宋体" w:cs="宋体"/>
              <w:sz w:val="24"/>
              <w:szCs w:val="24"/>
            </w:rPr>
            <w:tab/>
          </w:r>
          <w:bookmarkStart w:id="3" w:name="_Toc441_WPSOffice_Level2Page"/>
          <w:r>
            <w:rPr>
              <w:rFonts w:hint="eastAsia" w:ascii="宋体" w:hAnsi="宋体" w:cs="宋体"/>
              <w:sz w:val="24"/>
              <w:szCs w:val="24"/>
            </w:rPr>
            <w:t>1</w:t>
          </w:r>
          <w:bookmarkEnd w:id="3"/>
          <w:r>
            <w:rPr>
              <w:rFonts w:hint="eastAsia" w:ascii="宋体" w:hAnsi="宋体" w:cs="宋体"/>
              <w:sz w:val="24"/>
              <w:szCs w:val="24"/>
            </w:rPr>
            <w:fldChar w:fldCharType="end"/>
          </w:r>
        </w:p>
        <w:p>
          <w:pPr>
            <w:pStyle w:val="16"/>
            <w:tabs>
              <w:tab w:val="right" w:leader="dot" w:pos="8306"/>
            </w:tabs>
            <w:spacing w:line="360" w:lineRule="auto"/>
            <w:rPr>
              <w:rFonts w:ascii="宋体" w:hAnsi="宋体" w:cs="宋体"/>
              <w:sz w:val="24"/>
              <w:szCs w:val="24"/>
            </w:rPr>
          </w:pPr>
          <w:r>
            <w:fldChar w:fldCharType="begin"/>
          </w:r>
          <w:r>
            <w:instrText xml:space="preserve"> HYPERLINK \l "_Toc25207_WPSOffice_Level1" </w:instrText>
          </w:r>
          <w:r>
            <w:fldChar w:fldCharType="separate"/>
          </w:r>
          <w:sdt>
            <w:sdtPr>
              <w:rPr>
                <w:rFonts w:hint="eastAsia" w:ascii="宋体" w:hAnsi="宋体" w:cs="宋体"/>
                <w:b/>
                <w:bCs/>
                <w:kern w:val="2"/>
                <w:sz w:val="24"/>
                <w:szCs w:val="24"/>
              </w:rPr>
              <w:id w:val="72865759"/>
              <w:placeholder>
                <w:docPart w:val="{59330bd1-b96d-4d4b-b7c2-2cebaed06e77}"/>
              </w:placeholder>
            </w:sdtPr>
            <w:sdtEndPr>
              <w:rPr>
                <w:rFonts w:hint="eastAsia" w:ascii="宋体" w:hAnsi="宋体" w:cs="宋体"/>
                <w:b/>
                <w:bCs/>
                <w:kern w:val="2"/>
                <w:sz w:val="24"/>
                <w:szCs w:val="24"/>
              </w:rPr>
            </w:sdtEndPr>
            <w:sdtContent>
              <w:r>
                <w:rPr>
                  <w:rFonts w:hint="eastAsia" w:ascii="宋体" w:hAnsi="宋体" w:cs="宋体"/>
                  <w:b/>
                  <w:bCs/>
                  <w:sz w:val="24"/>
                  <w:szCs w:val="24"/>
                </w:rPr>
                <w:t>二、 绩效自评工作开展情况</w:t>
              </w:r>
            </w:sdtContent>
          </w:sdt>
          <w:r>
            <w:rPr>
              <w:rFonts w:hint="eastAsia" w:ascii="宋体" w:hAnsi="宋体" w:cs="宋体"/>
              <w:b/>
              <w:bCs/>
              <w:sz w:val="24"/>
              <w:szCs w:val="24"/>
            </w:rPr>
            <w:tab/>
          </w:r>
          <w:bookmarkStart w:id="4" w:name="_Toc25207_WPSOffice_Level1Page"/>
          <w:r>
            <w:rPr>
              <w:rFonts w:hint="eastAsia" w:ascii="宋体" w:hAnsi="宋体" w:cs="宋体"/>
              <w:b/>
              <w:bCs/>
              <w:sz w:val="24"/>
              <w:szCs w:val="24"/>
            </w:rPr>
            <w:t>4</w:t>
          </w:r>
          <w:bookmarkEnd w:id="4"/>
          <w:r>
            <w:rPr>
              <w:rFonts w:hint="eastAsia" w:ascii="宋体" w:hAnsi="宋体" w:cs="宋体"/>
              <w:b/>
              <w:bCs/>
              <w:sz w:val="24"/>
              <w:szCs w:val="24"/>
            </w:rPr>
            <w:fldChar w:fldCharType="end"/>
          </w:r>
        </w:p>
        <w:p>
          <w:pPr>
            <w:pStyle w:val="16"/>
            <w:tabs>
              <w:tab w:val="right" w:leader="dot" w:pos="8306"/>
            </w:tabs>
            <w:spacing w:line="360" w:lineRule="auto"/>
            <w:rPr>
              <w:rFonts w:ascii="宋体" w:hAnsi="宋体" w:cs="宋体"/>
              <w:sz w:val="24"/>
              <w:szCs w:val="24"/>
            </w:rPr>
          </w:pPr>
          <w:r>
            <w:fldChar w:fldCharType="begin"/>
          </w:r>
          <w:r>
            <w:instrText xml:space="preserve"> HYPERLINK \l "_Toc441_WPSOffice_Level1" </w:instrText>
          </w:r>
          <w:r>
            <w:fldChar w:fldCharType="separate"/>
          </w:r>
          <w:sdt>
            <w:sdtPr>
              <w:rPr>
                <w:rFonts w:hint="eastAsia" w:ascii="宋体" w:hAnsi="宋体" w:cs="宋体"/>
                <w:b/>
                <w:bCs/>
                <w:kern w:val="2"/>
                <w:sz w:val="24"/>
                <w:szCs w:val="24"/>
              </w:rPr>
              <w:id w:val="-127868694"/>
              <w:placeholder>
                <w:docPart w:val="{162ec17f-810e-4159-a25a-1a9cd444bc2b}"/>
              </w:placeholder>
            </w:sdtPr>
            <w:sdtEndPr>
              <w:rPr>
                <w:rFonts w:hint="eastAsia" w:ascii="宋体" w:hAnsi="宋体" w:cs="宋体"/>
                <w:b/>
                <w:bCs/>
                <w:kern w:val="2"/>
                <w:sz w:val="24"/>
                <w:szCs w:val="24"/>
              </w:rPr>
            </w:sdtEndPr>
            <w:sdtContent>
              <w:r>
                <w:rPr>
                  <w:rFonts w:hint="eastAsia" w:ascii="宋体" w:hAnsi="宋体" w:cs="宋体"/>
                  <w:b/>
                  <w:bCs/>
                  <w:sz w:val="24"/>
                  <w:szCs w:val="24"/>
                </w:rPr>
                <w:t>三、 综合评价结论</w:t>
              </w:r>
            </w:sdtContent>
          </w:sdt>
          <w:r>
            <w:rPr>
              <w:rFonts w:hint="eastAsia" w:ascii="宋体" w:hAnsi="宋体" w:cs="宋体"/>
              <w:b/>
              <w:bCs/>
              <w:sz w:val="24"/>
              <w:szCs w:val="24"/>
            </w:rPr>
            <w:tab/>
          </w:r>
          <w:bookmarkStart w:id="5" w:name="_Toc441_WPSOffice_Level1Page"/>
          <w:r>
            <w:rPr>
              <w:rFonts w:hint="eastAsia" w:ascii="宋体" w:hAnsi="宋体" w:cs="宋体"/>
              <w:b/>
              <w:bCs/>
              <w:sz w:val="24"/>
              <w:szCs w:val="24"/>
            </w:rPr>
            <w:t>6</w:t>
          </w:r>
          <w:bookmarkEnd w:id="5"/>
          <w:r>
            <w:rPr>
              <w:rFonts w:hint="eastAsia" w:ascii="宋体" w:hAnsi="宋体" w:cs="宋体"/>
              <w:b/>
              <w:bCs/>
              <w:sz w:val="24"/>
              <w:szCs w:val="24"/>
            </w:rPr>
            <w:fldChar w:fldCharType="end"/>
          </w:r>
        </w:p>
        <w:p>
          <w:pPr>
            <w:pStyle w:val="16"/>
            <w:tabs>
              <w:tab w:val="right" w:leader="dot" w:pos="8306"/>
            </w:tabs>
            <w:spacing w:line="360" w:lineRule="auto"/>
            <w:rPr>
              <w:rFonts w:ascii="宋体" w:hAnsi="宋体" w:cs="宋体"/>
              <w:sz w:val="24"/>
              <w:szCs w:val="24"/>
            </w:rPr>
          </w:pPr>
          <w:r>
            <w:fldChar w:fldCharType="begin"/>
          </w:r>
          <w:r>
            <w:instrText xml:space="preserve"> HYPERLINK \l "_Toc24373_WPSOffice_Level1" </w:instrText>
          </w:r>
          <w:r>
            <w:fldChar w:fldCharType="separate"/>
          </w:r>
          <w:sdt>
            <w:sdtPr>
              <w:rPr>
                <w:rFonts w:hint="eastAsia" w:ascii="宋体" w:hAnsi="宋体" w:cs="宋体"/>
                <w:b/>
                <w:bCs/>
                <w:kern w:val="2"/>
                <w:sz w:val="24"/>
                <w:szCs w:val="24"/>
              </w:rPr>
              <w:id w:val="-481312436"/>
              <w:placeholder>
                <w:docPart w:val="{c7002062-b89c-4c97-9e37-e2ca35a6328b}"/>
              </w:placeholder>
            </w:sdtPr>
            <w:sdtEndPr>
              <w:rPr>
                <w:rFonts w:hint="eastAsia" w:ascii="宋体" w:hAnsi="宋体" w:cs="宋体"/>
                <w:b/>
                <w:bCs/>
                <w:kern w:val="2"/>
                <w:sz w:val="24"/>
                <w:szCs w:val="24"/>
              </w:rPr>
            </w:sdtEndPr>
            <w:sdtContent>
              <w:r>
                <w:rPr>
                  <w:rFonts w:hint="eastAsia" w:ascii="宋体" w:hAnsi="宋体" w:cs="宋体"/>
                  <w:b/>
                  <w:bCs/>
                  <w:sz w:val="24"/>
                  <w:szCs w:val="24"/>
                </w:rPr>
                <w:t>四、绩效目标实现情况分析</w:t>
              </w:r>
            </w:sdtContent>
          </w:sdt>
          <w:r>
            <w:rPr>
              <w:rFonts w:hint="eastAsia" w:ascii="宋体" w:hAnsi="宋体" w:cs="宋体"/>
              <w:b/>
              <w:bCs/>
              <w:sz w:val="24"/>
              <w:szCs w:val="24"/>
            </w:rPr>
            <w:tab/>
          </w:r>
          <w:bookmarkStart w:id="6" w:name="_Toc24373_WPSOffice_Level1Page"/>
          <w:r>
            <w:rPr>
              <w:rFonts w:hint="eastAsia" w:ascii="宋体" w:hAnsi="宋体" w:cs="宋体"/>
              <w:b/>
              <w:bCs/>
              <w:sz w:val="24"/>
              <w:szCs w:val="24"/>
            </w:rPr>
            <w:t>7</w:t>
          </w:r>
          <w:bookmarkEnd w:id="6"/>
          <w:r>
            <w:rPr>
              <w:rFonts w:hint="eastAsia" w:ascii="宋体" w:hAnsi="宋体" w:cs="宋体"/>
              <w:b/>
              <w:bCs/>
              <w:sz w:val="24"/>
              <w:szCs w:val="24"/>
            </w:rPr>
            <w:fldChar w:fldCharType="end"/>
          </w:r>
        </w:p>
        <w:p>
          <w:pPr>
            <w:pStyle w:val="17"/>
            <w:tabs>
              <w:tab w:val="right" w:leader="dot" w:pos="8306"/>
            </w:tabs>
            <w:spacing w:line="360" w:lineRule="auto"/>
            <w:ind w:left="600"/>
            <w:rPr>
              <w:rFonts w:ascii="宋体" w:hAnsi="宋体" w:cs="宋体"/>
              <w:sz w:val="24"/>
              <w:szCs w:val="24"/>
            </w:rPr>
          </w:pPr>
          <w:r>
            <w:fldChar w:fldCharType="begin"/>
          </w:r>
          <w:r>
            <w:instrText xml:space="preserve"> HYPERLINK \l "_Toc3468_WPSOffice_Level2" </w:instrText>
          </w:r>
          <w:r>
            <w:fldChar w:fldCharType="separate"/>
          </w:r>
          <w:sdt>
            <w:sdtPr>
              <w:rPr>
                <w:rFonts w:hint="eastAsia" w:ascii="宋体" w:hAnsi="宋体" w:cs="宋体"/>
                <w:kern w:val="2"/>
                <w:sz w:val="24"/>
                <w:szCs w:val="24"/>
              </w:rPr>
              <w:id w:val="-170566238"/>
              <w:placeholder>
                <w:docPart w:val="{09391ed4-df87-41f4-b036-34fb87130431}"/>
              </w:placeholder>
            </w:sdtPr>
            <w:sdtEndPr>
              <w:rPr>
                <w:rFonts w:hint="eastAsia" w:ascii="宋体" w:hAnsi="宋体" w:cs="宋体"/>
                <w:kern w:val="2"/>
                <w:sz w:val="24"/>
                <w:szCs w:val="24"/>
              </w:rPr>
            </w:sdtEndPr>
            <w:sdtContent>
              <w:r>
                <w:rPr>
                  <w:rFonts w:hint="eastAsia" w:ascii="宋体" w:hAnsi="宋体" w:cs="宋体"/>
                  <w:sz w:val="24"/>
                  <w:szCs w:val="24"/>
                </w:rPr>
                <w:t>（一）项目资金情况分析</w:t>
              </w:r>
            </w:sdtContent>
          </w:sdt>
          <w:r>
            <w:rPr>
              <w:rFonts w:hint="eastAsia" w:ascii="宋体" w:hAnsi="宋体" w:cs="宋体"/>
              <w:sz w:val="24"/>
              <w:szCs w:val="24"/>
            </w:rPr>
            <w:tab/>
          </w:r>
          <w:bookmarkStart w:id="7" w:name="_Toc3468_WPSOffice_Level2Page"/>
          <w:r>
            <w:rPr>
              <w:rFonts w:hint="eastAsia" w:ascii="宋体" w:hAnsi="宋体" w:cs="宋体"/>
              <w:sz w:val="24"/>
              <w:szCs w:val="24"/>
            </w:rPr>
            <w:t>7</w:t>
          </w:r>
          <w:bookmarkEnd w:id="7"/>
          <w:r>
            <w:rPr>
              <w:rFonts w:hint="eastAsia" w:ascii="宋体" w:hAnsi="宋体" w:cs="宋体"/>
              <w:sz w:val="24"/>
              <w:szCs w:val="24"/>
            </w:rPr>
            <w:fldChar w:fldCharType="end"/>
          </w:r>
        </w:p>
        <w:p>
          <w:pPr>
            <w:pStyle w:val="17"/>
            <w:tabs>
              <w:tab w:val="right" w:leader="dot" w:pos="8306"/>
            </w:tabs>
            <w:spacing w:line="360" w:lineRule="auto"/>
            <w:ind w:left="600"/>
            <w:rPr>
              <w:rFonts w:ascii="宋体" w:hAnsi="宋体" w:cs="宋体"/>
              <w:sz w:val="24"/>
              <w:szCs w:val="24"/>
            </w:rPr>
          </w:pPr>
          <w:r>
            <w:fldChar w:fldCharType="begin"/>
          </w:r>
          <w:r>
            <w:instrText xml:space="preserve"> HYPERLINK \l "_Toc16360_WPSOffice_Level2" </w:instrText>
          </w:r>
          <w:r>
            <w:fldChar w:fldCharType="separate"/>
          </w:r>
          <w:sdt>
            <w:sdtPr>
              <w:rPr>
                <w:rFonts w:hint="eastAsia" w:ascii="宋体" w:hAnsi="宋体" w:cs="宋体"/>
                <w:kern w:val="2"/>
                <w:sz w:val="24"/>
                <w:szCs w:val="24"/>
              </w:rPr>
              <w:id w:val="1628042014"/>
              <w:placeholder>
                <w:docPart w:val="{1bd799ca-3a57-4084-8d7e-74e697060600}"/>
              </w:placeholder>
            </w:sdtPr>
            <w:sdtEndPr>
              <w:rPr>
                <w:rFonts w:hint="eastAsia" w:ascii="宋体" w:hAnsi="宋体" w:cs="宋体"/>
                <w:kern w:val="2"/>
                <w:sz w:val="24"/>
                <w:szCs w:val="24"/>
              </w:rPr>
            </w:sdtEndPr>
            <w:sdtContent>
              <w:r>
                <w:rPr>
                  <w:rFonts w:hint="eastAsia" w:ascii="宋体" w:hAnsi="宋体" w:cs="宋体"/>
                  <w:sz w:val="24"/>
                  <w:szCs w:val="24"/>
                </w:rPr>
                <w:t>（二）项目绩效指标完成情况分析</w:t>
              </w:r>
            </w:sdtContent>
          </w:sdt>
          <w:r>
            <w:rPr>
              <w:rFonts w:hint="eastAsia" w:ascii="宋体" w:hAnsi="宋体" w:cs="宋体"/>
              <w:sz w:val="24"/>
              <w:szCs w:val="24"/>
            </w:rPr>
            <w:tab/>
          </w:r>
          <w:bookmarkStart w:id="8" w:name="_Toc16360_WPSOffice_Level2Page"/>
          <w:r>
            <w:rPr>
              <w:rFonts w:hint="eastAsia" w:ascii="宋体" w:hAnsi="宋体" w:cs="宋体"/>
              <w:sz w:val="24"/>
              <w:szCs w:val="24"/>
            </w:rPr>
            <w:t>9</w:t>
          </w:r>
          <w:bookmarkEnd w:id="8"/>
          <w:r>
            <w:rPr>
              <w:rFonts w:hint="eastAsia" w:ascii="宋体" w:hAnsi="宋体" w:cs="宋体"/>
              <w:sz w:val="24"/>
              <w:szCs w:val="24"/>
            </w:rPr>
            <w:fldChar w:fldCharType="end"/>
          </w:r>
        </w:p>
        <w:p>
          <w:pPr>
            <w:pStyle w:val="16"/>
            <w:tabs>
              <w:tab w:val="right" w:leader="dot" w:pos="8306"/>
            </w:tabs>
            <w:spacing w:line="360" w:lineRule="auto"/>
            <w:rPr>
              <w:rFonts w:ascii="宋体" w:hAnsi="宋体" w:cs="宋体"/>
              <w:sz w:val="24"/>
              <w:szCs w:val="24"/>
            </w:rPr>
          </w:pPr>
          <w:r>
            <w:fldChar w:fldCharType="begin"/>
          </w:r>
          <w:r>
            <w:instrText xml:space="preserve"> HYPERLINK \l "_Toc15464_WPSOffice_Level1" </w:instrText>
          </w:r>
          <w:r>
            <w:fldChar w:fldCharType="separate"/>
          </w:r>
          <w:sdt>
            <w:sdtPr>
              <w:rPr>
                <w:rFonts w:hint="eastAsia" w:ascii="宋体" w:hAnsi="宋体" w:cs="宋体"/>
                <w:b/>
                <w:bCs/>
                <w:kern w:val="2"/>
                <w:sz w:val="24"/>
                <w:szCs w:val="24"/>
              </w:rPr>
              <w:id w:val="677467150"/>
              <w:placeholder>
                <w:docPart w:val="{a42a4cb7-994f-4238-a307-e2b1a3e35704}"/>
              </w:placeholder>
            </w:sdtPr>
            <w:sdtEndPr>
              <w:rPr>
                <w:rFonts w:hint="eastAsia" w:ascii="宋体" w:hAnsi="宋体" w:cs="宋体"/>
                <w:b/>
                <w:bCs/>
                <w:kern w:val="2"/>
                <w:sz w:val="24"/>
                <w:szCs w:val="24"/>
              </w:rPr>
            </w:sdtEndPr>
            <w:sdtContent>
              <w:r>
                <w:rPr>
                  <w:rFonts w:hint="eastAsia" w:ascii="宋体" w:hAnsi="宋体" w:cs="宋体"/>
                  <w:b/>
                  <w:bCs/>
                  <w:sz w:val="24"/>
                  <w:szCs w:val="24"/>
                </w:rPr>
                <w:t>五、绩效目标未完成原因和下一步改进措施</w:t>
              </w:r>
            </w:sdtContent>
          </w:sdt>
          <w:r>
            <w:rPr>
              <w:rFonts w:hint="eastAsia" w:ascii="宋体" w:hAnsi="宋体" w:cs="宋体"/>
              <w:b/>
              <w:bCs/>
              <w:sz w:val="24"/>
              <w:szCs w:val="24"/>
            </w:rPr>
            <w:tab/>
          </w:r>
          <w:bookmarkStart w:id="9" w:name="_Toc15464_WPSOffice_Level1Page"/>
          <w:r>
            <w:rPr>
              <w:rFonts w:hint="eastAsia" w:ascii="宋体" w:hAnsi="宋体" w:cs="宋体"/>
              <w:b/>
              <w:bCs/>
              <w:sz w:val="24"/>
              <w:szCs w:val="24"/>
            </w:rPr>
            <w:t>14</w:t>
          </w:r>
          <w:bookmarkEnd w:id="9"/>
          <w:r>
            <w:rPr>
              <w:rFonts w:hint="eastAsia" w:ascii="宋体" w:hAnsi="宋体" w:cs="宋体"/>
              <w:b/>
              <w:bCs/>
              <w:sz w:val="24"/>
              <w:szCs w:val="24"/>
            </w:rPr>
            <w:fldChar w:fldCharType="end"/>
          </w:r>
        </w:p>
        <w:p>
          <w:pPr>
            <w:pStyle w:val="16"/>
            <w:tabs>
              <w:tab w:val="right" w:leader="dot" w:pos="8306"/>
            </w:tabs>
            <w:spacing w:line="360" w:lineRule="auto"/>
            <w:rPr>
              <w:rFonts w:ascii="宋体" w:hAnsi="宋体" w:cs="宋体"/>
              <w:sz w:val="24"/>
              <w:szCs w:val="24"/>
            </w:rPr>
          </w:pPr>
          <w:r>
            <w:fldChar w:fldCharType="begin"/>
          </w:r>
          <w:r>
            <w:instrText xml:space="preserve"> HYPERLINK \l "_Toc3468_WPSOffice_Level1" </w:instrText>
          </w:r>
          <w:r>
            <w:fldChar w:fldCharType="separate"/>
          </w:r>
          <w:sdt>
            <w:sdtPr>
              <w:rPr>
                <w:rFonts w:hint="eastAsia" w:ascii="宋体" w:hAnsi="宋体" w:cs="宋体"/>
                <w:b/>
                <w:bCs/>
                <w:kern w:val="2"/>
                <w:sz w:val="24"/>
                <w:szCs w:val="24"/>
              </w:rPr>
              <w:id w:val="-30187288"/>
              <w:placeholder>
                <w:docPart w:val="{2241f56d-0015-4f60-8667-6f04a1e8c6e1}"/>
              </w:placeholder>
            </w:sdtPr>
            <w:sdtEndPr>
              <w:rPr>
                <w:rFonts w:hint="eastAsia" w:ascii="宋体" w:hAnsi="宋体" w:cs="宋体"/>
                <w:b/>
                <w:bCs/>
                <w:kern w:val="2"/>
                <w:sz w:val="24"/>
                <w:szCs w:val="24"/>
              </w:rPr>
            </w:sdtEndPr>
            <w:sdtContent>
              <w:r>
                <w:rPr>
                  <w:rFonts w:hint="eastAsia" w:ascii="宋体" w:hAnsi="宋体" w:cs="宋体"/>
                  <w:b/>
                  <w:bCs/>
                  <w:sz w:val="24"/>
                  <w:szCs w:val="24"/>
                </w:rPr>
                <w:t>六、绩效自评结果拟应用和公开情况</w:t>
              </w:r>
            </w:sdtContent>
          </w:sdt>
          <w:r>
            <w:rPr>
              <w:rFonts w:hint="eastAsia" w:ascii="宋体" w:hAnsi="宋体" w:cs="宋体"/>
              <w:b/>
              <w:bCs/>
              <w:sz w:val="24"/>
              <w:szCs w:val="24"/>
            </w:rPr>
            <w:tab/>
          </w:r>
          <w:bookmarkStart w:id="10" w:name="_Toc3468_WPSOffice_Level1Page"/>
          <w:r>
            <w:rPr>
              <w:rFonts w:hint="eastAsia" w:ascii="宋体" w:hAnsi="宋体" w:cs="宋体"/>
              <w:b/>
              <w:bCs/>
              <w:sz w:val="24"/>
              <w:szCs w:val="24"/>
            </w:rPr>
            <w:t>15</w:t>
          </w:r>
          <w:bookmarkEnd w:id="10"/>
          <w:r>
            <w:rPr>
              <w:rFonts w:hint="eastAsia" w:ascii="宋体" w:hAnsi="宋体" w:cs="宋体"/>
              <w:b/>
              <w:bCs/>
              <w:sz w:val="24"/>
              <w:szCs w:val="24"/>
            </w:rPr>
            <w:fldChar w:fldCharType="end"/>
          </w:r>
        </w:p>
        <w:p>
          <w:pPr>
            <w:pStyle w:val="16"/>
            <w:tabs>
              <w:tab w:val="right" w:leader="dot" w:pos="8306"/>
            </w:tabs>
            <w:spacing w:line="360" w:lineRule="auto"/>
            <w:rPr>
              <w:rFonts w:ascii="宋体" w:hAnsi="宋体" w:cs="宋体"/>
              <w:sz w:val="24"/>
              <w:szCs w:val="24"/>
            </w:rPr>
          </w:pPr>
          <w:r>
            <w:fldChar w:fldCharType="begin"/>
          </w:r>
          <w:r>
            <w:instrText xml:space="preserve"> HYPERLINK \l "_Toc17116_WPSOffice_Level1" </w:instrText>
          </w:r>
          <w:r>
            <w:fldChar w:fldCharType="separate"/>
          </w:r>
          <w:sdt>
            <w:sdtPr>
              <w:rPr>
                <w:rFonts w:hint="eastAsia" w:ascii="宋体" w:hAnsi="宋体" w:cs="宋体"/>
                <w:b/>
                <w:bCs/>
                <w:kern w:val="2"/>
                <w:sz w:val="24"/>
                <w:szCs w:val="24"/>
              </w:rPr>
              <w:id w:val="108561834"/>
              <w:placeholder>
                <w:docPart w:val="{8101e1db-4135-4427-bb21-11f4f87a0812}"/>
              </w:placeholder>
            </w:sdtPr>
            <w:sdtEndPr>
              <w:rPr>
                <w:rFonts w:hint="eastAsia" w:ascii="宋体" w:hAnsi="宋体" w:cs="宋体"/>
                <w:b/>
                <w:bCs/>
                <w:kern w:val="2"/>
                <w:sz w:val="24"/>
                <w:szCs w:val="24"/>
              </w:rPr>
            </w:sdtEndPr>
            <w:sdtContent>
              <w:r>
                <w:rPr>
                  <w:rFonts w:hint="eastAsia" w:ascii="宋体" w:hAnsi="宋体" w:cs="宋体"/>
                  <w:b/>
                  <w:bCs/>
                  <w:sz w:val="24"/>
                  <w:szCs w:val="24"/>
                </w:rPr>
                <w:t>七、绩效自评工作的经验、问题和建议</w:t>
              </w:r>
            </w:sdtContent>
          </w:sdt>
          <w:r>
            <w:rPr>
              <w:rFonts w:hint="eastAsia" w:ascii="宋体" w:hAnsi="宋体" w:cs="宋体"/>
              <w:b/>
              <w:bCs/>
              <w:sz w:val="24"/>
              <w:szCs w:val="24"/>
            </w:rPr>
            <w:tab/>
          </w:r>
          <w:bookmarkStart w:id="11" w:name="_Toc17116_WPSOffice_Level1Page"/>
          <w:r>
            <w:rPr>
              <w:rFonts w:hint="eastAsia" w:ascii="宋体" w:hAnsi="宋体" w:cs="宋体"/>
              <w:b/>
              <w:bCs/>
              <w:sz w:val="24"/>
              <w:szCs w:val="24"/>
            </w:rPr>
            <w:t>15</w:t>
          </w:r>
          <w:bookmarkEnd w:id="11"/>
          <w:r>
            <w:rPr>
              <w:rFonts w:hint="eastAsia" w:ascii="宋体" w:hAnsi="宋体" w:cs="宋体"/>
              <w:b/>
              <w:bCs/>
              <w:sz w:val="24"/>
              <w:szCs w:val="24"/>
            </w:rPr>
            <w:fldChar w:fldCharType="end"/>
          </w:r>
        </w:p>
        <w:p>
          <w:pPr>
            <w:pStyle w:val="17"/>
            <w:tabs>
              <w:tab w:val="right" w:leader="dot" w:pos="8306"/>
            </w:tabs>
            <w:spacing w:line="360" w:lineRule="auto"/>
            <w:ind w:left="600"/>
            <w:rPr>
              <w:rFonts w:ascii="宋体" w:hAnsi="宋体" w:cs="宋体"/>
              <w:sz w:val="24"/>
              <w:szCs w:val="24"/>
            </w:rPr>
          </w:pPr>
          <w:r>
            <w:fldChar w:fldCharType="begin"/>
          </w:r>
          <w:r>
            <w:instrText xml:space="preserve"> HYPERLINK \l "_Toc27712_WPSOffice_Level2" </w:instrText>
          </w:r>
          <w:r>
            <w:fldChar w:fldCharType="separate"/>
          </w:r>
          <w:sdt>
            <w:sdtPr>
              <w:rPr>
                <w:rFonts w:hint="eastAsia" w:ascii="宋体" w:hAnsi="宋体" w:cs="宋体"/>
                <w:kern w:val="2"/>
                <w:sz w:val="24"/>
                <w:szCs w:val="24"/>
              </w:rPr>
              <w:id w:val="615720031"/>
              <w:placeholder>
                <w:docPart w:val="{783b199f-27bf-46b5-9f9d-00a5b6030c11}"/>
              </w:placeholder>
            </w:sdtPr>
            <w:sdtEndPr>
              <w:rPr>
                <w:rFonts w:hint="eastAsia" w:ascii="宋体" w:hAnsi="宋体" w:cs="宋体"/>
                <w:kern w:val="2"/>
                <w:sz w:val="24"/>
                <w:szCs w:val="24"/>
              </w:rPr>
            </w:sdtEndPr>
            <w:sdtContent>
              <w:r>
                <w:rPr>
                  <w:rFonts w:hint="eastAsia" w:ascii="宋体" w:hAnsi="宋体" w:cs="宋体"/>
                  <w:sz w:val="24"/>
                  <w:szCs w:val="24"/>
                </w:rPr>
                <w:t>（一）绩效评价工作的经验</w:t>
              </w:r>
            </w:sdtContent>
          </w:sdt>
          <w:r>
            <w:rPr>
              <w:rFonts w:hint="eastAsia" w:ascii="宋体" w:hAnsi="宋体" w:cs="宋体"/>
              <w:sz w:val="24"/>
              <w:szCs w:val="24"/>
            </w:rPr>
            <w:tab/>
          </w:r>
          <w:bookmarkStart w:id="12" w:name="_Toc27712_WPSOffice_Level2Page"/>
          <w:r>
            <w:rPr>
              <w:rFonts w:hint="eastAsia" w:ascii="宋体" w:hAnsi="宋体" w:cs="宋体"/>
              <w:sz w:val="24"/>
              <w:szCs w:val="24"/>
            </w:rPr>
            <w:t>15</w:t>
          </w:r>
          <w:bookmarkEnd w:id="12"/>
          <w:r>
            <w:rPr>
              <w:rFonts w:hint="eastAsia" w:ascii="宋体" w:hAnsi="宋体" w:cs="宋体"/>
              <w:sz w:val="24"/>
              <w:szCs w:val="24"/>
            </w:rPr>
            <w:fldChar w:fldCharType="end"/>
          </w:r>
        </w:p>
        <w:p>
          <w:pPr>
            <w:pStyle w:val="17"/>
            <w:tabs>
              <w:tab w:val="right" w:leader="dot" w:pos="8306"/>
            </w:tabs>
            <w:spacing w:line="360" w:lineRule="auto"/>
            <w:ind w:left="600"/>
            <w:rPr>
              <w:rFonts w:ascii="宋体" w:hAnsi="宋体" w:cs="宋体"/>
              <w:sz w:val="24"/>
              <w:szCs w:val="24"/>
            </w:rPr>
          </w:pPr>
          <w:r>
            <w:fldChar w:fldCharType="begin"/>
          </w:r>
          <w:r>
            <w:instrText xml:space="preserve"> HYPERLINK \l "_Toc19825_WPSOffice_Level2" </w:instrText>
          </w:r>
          <w:r>
            <w:fldChar w:fldCharType="separate"/>
          </w:r>
          <w:sdt>
            <w:sdtPr>
              <w:rPr>
                <w:rFonts w:hint="eastAsia" w:ascii="宋体" w:hAnsi="宋体" w:cs="宋体"/>
                <w:kern w:val="2"/>
                <w:sz w:val="24"/>
                <w:szCs w:val="24"/>
              </w:rPr>
              <w:id w:val="-1668081368"/>
              <w:placeholder>
                <w:docPart w:val="{18304e88-abb3-403e-88d6-342bf7ef8b94}"/>
              </w:placeholder>
            </w:sdtPr>
            <w:sdtEndPr>
              <w:rPr>
                <w:rFonts w:hint="eastAsia" w:ascii="宋体" w:hAnsi="宋体" w:cs="宋体"/>
                <w:kern w:val="2"/>
                <w:sz w:val="24"/>
                <w:szCs w:val="24"/>
              </w:rPr>
            </w:sdtEndPr>
            <w:sdtContent>
              <w:r>
                <w:rPr>
                  <w:rFonts w:hint="eastAsia" w:ascii="宋体" w:hAnsi="宋体" w:cs="宋体"/>
                  <w:sz w:val="24"/>
                  <w:szCs w:val="24"/>
                </w:rPr>
                <w:t>（二）存在的问题</w:t>
              </w:r>
            </w:sdtContent>
          </w:sdt>
          <w:r>
            <w:rPr>
              <w:rFonts w:hint="eastAsia" w:ascii="宋体" w:hAnsi="宋体" w:cs="宋体"/>
              <w:sz w:val="24"/>
              <w:szCs w:val="24"/>
            </w:rPr>
            <w:tab/>
          </w:r>
          <w:bookmarkStart w:id="13" w:name="_Toc19825_WPSOffice_Level2Page"/>
          <w:r>
            <w:rPr>
              <w:rFonts w:hint="eastAsia" w:ascii="宋体" w:hAnsi="宋体" w:cs="宋体"/>
              <w:sz w:val="24"/>
              <w:szCs w:val="24"/>
            </w:rPr>
            <w:t>16</w:t>
          </w:r>
          <w:bookmarkEnd w:id="13"/>
          <w:r>
            <w:rPr>
              <w:rFonts w:hint="eastAsia" w:ascii="宋体" w:hAnsi="宋体" w:cs="宋体"/>
              <w:sz w:val="24"/>
              <w:szCs w:val="24"/>
            </w:rPr>
            <w:fldChar w:fldCharType="end"/>
          </w:r>
        </w:p>
        <w:p>
          <w:pPr>
            <w:pStyle w:val="17"/>
            <w:tabs>
              <w:tab w:val="right" w:leader="dot" w:pos="8306"/>
            </w:tabs>
            <w:spacing w:line="360" w:lineRule="auto"/>
            <w:ind w:left="600"/>
            <w:rPr>
              <w:rFonts w:ascii="宋体" w:hAnsi="宋体" w:cs="宋体"/>
              <w:sz w:val="24"/>
              <w:szCs w:val="24"/>
            </w:rPr>
          </w:pPr>
          <w:r>
            <w:fldChar w:fldCharType="begin"/>
          </w:r>
          <w:r>
            <w:instrText xml:space="preserve"> HYPERLINK \l "_Toc17693_WPSOffice_Level2" </w:instrText>
          </w:r>
          <w:r>
            <w:fldChar w:fldCharType="separate"/>
          </w:r>
          <w:sdt>
            <w:sdtPr>
              <w:rPr>
                <w:rFonts w:hint="eastAsia" w:ascii="宋体" w:hAnsi="宋体" w:cs="宋体"/>
                <w:kern w:val="2"/>
                <w:sz w:val="24"/>
                <w:szCs w:val="24"/>
              </w:rPr>
              <w:id w:val="1741284517"/>
              <w:placeholder>
                <w:docPart w:val="{7ef0f58e-c157-49f6-a758-a891c7624c2f}"/>
              </w:placeholder>
            </w:sdtPr>
            <w:sdtEndPr>
              <w:rPr>
                <w:rFonts w:hint="eastAsia" w:ascii="宋体" w:hAnsi="宋体" w:cs="宋体"/>
                <w:kern w:val="2"/>
                <w:sz w:val="24"/>
                <w:szCs w:val="24"/>
              </w:rPr>
            </w:sdtEndPr>
            <w:sdtContent>
              <w:r>
                <w:rPr>
                  <w:rFonts w:hint="eastAsia" w:ascii="宋体" w:hAnsi="宋体" w:cs="宋体"/>
                  <w:sz w:val="24"/>
                  <w:szCs w:val="24"/>
                </w:rPr>
                <w:t>（三）工作建议</w:t>
              </w:r>
            </w:sdtContent>
          </w:sdt>
          <w:r>
            <w:rPr>
              <w:rFonts w:hint="eastAsia" w:ascii="宋体" w:hAnsi="宋体" w:cs="宋体"/>
              <w:sz w:val="24"/>
              <w:szCs w:val="24"/>
            </w:rPr>
            <w:tab/>
          </w:r>
          <w:bookmarkStart w:id="14" w:name="_Toc17693_WPSOffice_Level2Page"/>
          <w:r>
            <w:rPr>
              <w:rFonts w:hint="eastAsia" w:ascii="宋体" w:hAnsi="宋体" w:cs="宋体"/>
              <w:sz w:val="24"/>
              <w:szCs w:val="24"/>
            </w:rPr>
            <w:t>17</w:t>
          </w:r>
          <w:bookmarkEnd w:id="14"/>
          <w:r>
            <w:rPr>
              <w:rFonts w:hint="eastAsia" w:ascii="宋体" w:hAnsi="宋体" w:cs="宋体"/>
              <w:sz w:val="24"/>
              <w:szCs w:val="24"/>
            </w:rPr>
            <w:fldChar w:fldCharType="end"/>
          </w:r>
        </w:p>
        <w:p>
          <w:pPr>
            <w:pStyle w:val="16"/>
            <w:tabs>
              <w:tab w:val="right" w:leader="dot" w:pos="8306"/>
            </w:tabs>
            <w:spacing w:line="360" w:lineRule="auto"/>
            <w:rPr>
              <w:rFonts w:ascii="宋体" w:hAnsi="宋体" w:cs="宋体"/>
              <w:sz w:val="24"/>
              <w:szCs w:val="24"/>
            </w:rPr>
          </w:pPr>
          <w:r>
            <w:fldChar w:fldCharType="begin"/>
          </w:r>
          <w:r>
            <w:instrText xml:space="preserve"> HYPERLINK \l "_Toc16360_WPSOffice_Level1" </w:instrText>
          </w:r>
          <w:r>
            <w:fldChar w:fldCharType="separate"/>
          </w:r>
          <w:sdt>
            <w:sdtPr>
              <w:rPr>
                <w:rFonts w:hint="eastAsia" w:ascii="宋体" w:hAnsi="宋体" w:cs="宋体"/>
                <w:b/>
                <w:bCs/>
                <w:kern w:val="2"/>
                <w:sz w:val="24"/>
                <w:szCs w:val="24"/>
              </w:rPr>
              <w:id w:val="-121310657"/>
              <w:placeholder>
                <w:docPart w:val="{96aadd5f-5acb-4723-bdf6-53694e26a58e}"/>
              </w:placeholder>
            </w:sdtPr>
            <w:sdtEndPr>
              <w:rPr>
                <w:rFonts w:hint="eastAsia" w:ascii="宋体" w:hAnsi="宋体" w:cs="宋体"/>
                <w:b/>
                <w:bCs/>
                <w:kern w:val="2"/>
                <w:sz w:val="24"/>
                <w:szCs w:val="24"/>
              </w:rPr>
            </w:sdtEndPr>
            <w:sdtContent>
              <w:r>
                <w:rPr>
                  <w:rFonts w:hint="eastAsia" w:ascii="宋体" w:hAnsi="宋体" w:cs="宋体"/>
                  <w:b/>
                  <w:bCs/>
                  <w:sz w:val="24"/>
                  <w:szCs w:val="24"/>
                </w:rPr>
                <w:t>八、其他需说明的问题</w:t>
              </w:r>
            </w:sdtContent>
          </w:sdt>
          <w:r>
            <w:rPr>
              <w:rFonts w:hint="eastAsia" w:ascii="宋体" w:hAnsi="宋体" w:cs="宋体"/>
              <w:b/>
              <w:bCs/>
              <w:sz w:val="24"/>
              <w:szCs w:val="24"/>
            </w:rPr>
            <w:tab/>
          </w:r>
          <w:bookmarkStart w:id="15" w:name="_Toc16360_WPSOffice_Level1Page"/>
          <w:r>
            <w:rPr>
              <w:rFonts w:hint="eastAsia" w:ascii="宋体" w:hAnsi="宋体" w:cs="宋体"/>
              <w:b/>
              <w:bCs/>
              <w:sz w:val="24"/>
              <w:szCs w:val="24"/>
            </w:rPr>
            <w:t>17</w:t>
          </w:r>
          <w:bookmarkEnd w:id="15"/>
          <w:r>
            <w:rPr>
              <w:rFonts w:hint="eastAsia" w:ascii="宋体" w:hAnsi="宋体" w:cs="宋体"/>
              <w:b/>
              <w:bCs/>
              <w:sz w:val="24"/>
              <w:szCs w:val="24"/>
            </w:rPr>
            <w:fldChar w:fldCharType="end"/>
          </w:r>
        </w:p>
        <w:p>
          <w:pPr>
            <w:pStyle w:val="16"/>
            <w:tabs>
              <w:tab w:val="right" w:leader="dot" w:pos="8306"/>
            </w:tabs>
            <w:spacing w:line="360" w:lineRule="auto"/>
            <w:rPr>
              <w:rFonts w:ascii="宋体" w:hAnsi="宋体" w:cs="宋体"/>
              <w:sz w:val="24"/>
              <w:szCs w:val="24"/>
            </w:rPr>
          </w:pPr>
          <w:r>
            <w:fldChar w:fldCharType="begin"/>
          </w:r>
          <w:r>
            <w:instrText xml:space="preserve"> HYPERLINK \l "_Toc27712_WPSOffice_Level1" </w:instrText>
          </w:r>
          <w:r>
            <w:fldChar w:fldCharType="separate"/>
          </w:r>
          <w:sdt>
            <w:sdtPr>
              <w:rPr>
                <w:rFonts w:hint="eastAsia" w:ascii="宋体" w:hAnsi="宋体" w:cs="宋体"/>
                <w:b/>
                <w:bCs/>
                <w:kern w:val="2"/>
                <w:sz w:val="24"/>
                <w:szCs w:val="24"/>
              </w:rPr>
              <w:id w:val="-822344892"/>
              <w:placeholder>
                <w:docPart w:val="{964facae-b3cb-4422-b517-9447618f38df}"/>
              </w:placeholder>
            </w:sdtPr>
            <w:sdtEndPr>
              <w:rPr>
                <w:rFonts w:hint="eastAsia" w:ascii="宋体" w:hAnsi="宋体" w:cs="宋体"/>
                <w:b/>
                <w:bCs/>
                <w:kern w:val="2"/>
                <w:sz w:val="24"/>
                <w:szCs w:val="24"/>
              </w:rPr>
            </w:sdtEndPr>
            <w:sdtContent>
              <w:r>
                <w:rPr>
                  <w:rFonts w:hint="eastAsia" w:ascii="宋体" w:hAnsi="宋体" w:cs="宋体"/>
                  <w:b/>
                  <w:bCs/>
                  <w:sz w:val="24"/>
                  <w:szCs w:val="24"/>
                </w:rPr>
                <w:t>附件</w:t>
              </w:r>
            </w:sdtContent>
          </w:sdt>
          <w:r>
            <w:rPr>
              <w:rFonts w:hint="eastAsia" w:ascii="宋体" w:hAnsi="宋体" w:cs="宋体"/>
              <w:b/>
              <w:bCs/>
              <w:sz w:val="24"/>
              <w:szCs w:val="24"/>
            </w:rPr>
            <w:tab/>
          </w:r>
          <w:bookmarkStart w:id="16" w:name="_Toc27712_WPSOffice_Level1Page"/>
          <w:r>
            <w:rPr>
              <w:rFonts w:hint="eastAsia" w:ascii="宋体" w:hAnsi="宋体" w:cs="宋体"/>
              <w:b/>
              <w:bCs/>
              <w:sz w:val="24"/>
              <w:szCs w:val="24"/>
            </w:rPr>
            <w:t>18</w:t>
          </w:r>
          <w:bookmarkEnd w:id="16"/>
          <w:r>
            <w:rPr>
              <w:rFonts w:hint="eastAsia" w:ascii="宋体" w:hAnsi="宋体" w:cs="宋体"/>
              <w:b/>
              <w:bCs/>
              <w:sz w:val="24"/>
              <w:szCs w:val="24"/>
            </w:rPr>
            <w:fldChar w:fldCharType="end"/>
          </w:r>
        </w:p>
      </w:sdtContent>
    </w:sdt>
    <w:bookmarkEnd w:id="0"/>
    <w:p>
      <w:pPr>
        <w:ind w:firstLine="0" w:firstLineChars="0"/>
        <w:jc w:val="center"/>
        <w:rPr>
          <w:rFonts w:ascii="黑体" w:hAnsi="黑体" w:eastAsia="黑体" w:cs="黑体"/>
          <w:bCs/>
          <w:sz w:val="36"/>
          <w:szCs w:val="36"/>
        </w:rPr>
      </w:pPr>
    </w:p>
    <w:p>
      <w:pPr>
        <w:pStyle w:val="16"/>
        <w:tabs>
          <w:tab w:val="right" w:leader="dot" w:pos="8306"/>
        </w:tabs>
        <w:rPr>
          <w:rFonts w:ascii="宋体" w:hAnsi="宋体" w:cs="宋体"/>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bookmarkStart w:id="17" w:name="_Toc19206_WPSOffice_Level1"/>
    </w:p>
    <w:p>
      <w:pPr>
        <w:pStyle w:val="2"/>
        <w:ind w:firstLine="602"/>
      </w:pPr>
      <w:bookmarkStart w:id="18" w:name="_Toc23911_WPSOffice_Level1"/>
      <w:bookmarkStart w:id="19" w:name="_Toc4893_WPSOffice_Level1"/>
      <w:bookmarkStart w:id="20" w:name="_Toc2765_WPSOffice_Level1"/>
      <w:bookmarkStart w:id="21" w:name="_Toc28846_WPSOffice_Level1"/>
      <w:r>
        <w:rPr>
          <w:rFonts w:hint="eastAsia"/>
        </w:rPr>
        <w:t>一、基本情况</w:t>
      </w:r>
      <w:bookmarkEnd w:id="17"/>
      <w:bookmarkEnd w:id="18"/>
      <w:bookmarkEnd w:id="19"/>
      <w:bookmarkEnd w:id="20"/>
      <w:bookmarkEnd w:id="21"/>
    </w:p>
    <w:p>
      <w:pPr>
        <w:pStyle w:val="3"/>
        <w:ind w:firstLine="602"/>
      </w:pPr>
      <w:bookmarkStart w:id="22" w:name="_Toc25571_WPSOffice_Level2"/>
      <w:bookmarkStart w:id="23" w:name="_Toc25207_WPSOffice_Level2"/>
      <w:bookmarkStart w:id="24" w:name="_Toc1028_WPSOffice_Level2"/>
      <w:r>
        <w:rPr>
          <w:rFonts w:hint="eastAsia"/>
        </w:rPr>
        <w:t>（一）项目申请理由</w:t>
      </w:r>
      <w:bookmarkEnd w:id="22"/>
      <w:bookmarkEnd w:id="23"/>
      <w:bookmarkEnd w:id="24"/>
    </w:p>
    <w:p>
      <w:pPr>
        <w:ind w:firstLine="600"/>
      </w:pPr>
      <w:r>
        <w:rPr>
          <w:rFonts w:hint="eastAsia"/>
        </w:rPr>
        <w:t xml:space="preserve"> 省社会主义学院是中国共产党领导的统一战线性质的政治学院，是民主党派和无党派人士的联合党校，是党和国家干部教育培训体系的重要组成部分，肩负着统一战线人才教育培养的重任。为贯彻落实中央和省委</w:t>
      </w:r>
      <w:r>
        <w:t>有关</w:t>
      </w:r>
      <w:r>
        <w:rPr>
          <w:rFonts w:hint="eastAsia"/>
        </w:rPr>
        <w:t>文件精神，加强对我省社会主义学院建设的力度，特申请设立“学员培训经费”项目，帮助省社院改善办学条件，提高办学水平。</w:t>
      </w:r>
    </w:p>
    <w:p>
      <w:pPr>
        <w:pStyle w:val="3"/>
        <w:ind w:firstLine="602"/>
      </w:pPr>
      <w:bookmarkStart w:id="25" w:name="_Toc6227_WPSOffice_Level2"/>
      <w:bookmarkStart w:id="26" w:name="_Toc441_WPSOffice_Level2"/>
      <w:bookmarkStart w:id="27" w:name="_Toc8576_WPSOffice_Level2"/>
      <w:r>
        <w:rPr>
          <w:rFonts w:hint="eastAsia"/>
        </w:rPr>
        <w:t>（二）项目绩效目标</w:t>
      </w:r>
      <w:bookmarkEnd w:id="25"/>
      <w:bookmarkEnd w:id="26"/>
      <w:bookmarkEnd w:id="27"/>
    </w:p>
    <w:p>
      <w:pPr>
        <w:ind w:firstLine="600"/>
      </w:pPr>
      <w:r>
        <w:t>根据年初省人大的批复，省</w:t>
      </w:r>
      <w:r>
        <w:rPr>
          <w:rFonts w:hint="eastAsia"/>
        </w:rPr>
        <w:t>社会主义学院</w:t>
      </w:r>
      <w:r>
        <w:t>“学员培训经费”绩效目标如下：</w:t>
      </w:r>
    </w:p>
    <w:p>
      <w:pPr>
        <w:numPr>
          <w:ilvl w:val="0"/>
          <w:numId w:val="1"/>
        </w:numPr>
        <w:ind w:firstLine="602"/>
      </w:pPr>
      <w:r>
        <w:rPr>
          <w:b/>
        </w:rPr>
        <w:t>长期目标</w:t>
      </w:r>
      <w:r>
        <w:t>：</w:t>
      </w:r>
      <w:bookmarkStart w:id="28" w:name="_Toc17998_WPSOffice_Level2"/>
      <w:r>
        <w:t>项目绩效总目标为始终坚持“社院姓社”的政治方向，把政治共识教育作为社院教育培训的特色和根本点，努力形成有湖北特点、统战特色的党外代表人士教育培训模式，充分发挥社会主义学院统一战线“人才培养基地、理论研究基地、方针政策宣传基地”的职能和作用，为统一战线培养大批政治素质高、业务能力强、群众公认的党外代表人士；加强统战理论的研究，加强学科建设，打造有湖北特色的统战理论研究品牌；加强学院规范化管理，促进学院正规化建设，并形成全省社院工作体系，为“五个湖北”的建设贡献力量。</w:t>
      </w:r>
      <w:bookmarkStart w:id="29" w:name="_Toc19807_WPSOffice_Level2"/>
    </w:p>
    <w:p>
      <w:pPr>
        <w:ind w:firstLine="600"/>
        <w:jc w:val="center"/>
      </w:pPr>
      <w:bookmarkStart w:id="30" w:name="_Toc20051_WPSOffice_Level2"/>
      <w:bookmarkStart w:id="31" w:name="_Toc17410_WPSOffice_Level2"/>
    </w:p>
    <w:p>
      <w:pPr>
        <w:ind w:firstLine="600"/>
        <w:jc w:val="center"/>
      </w:pPr>
      <w:r>
        <w:t>表1</w:t>
      </w:r>
      <w:r>
        <w:rPr>
          <w:rFonts w:hint="eastAsia"/>
        </w:rPr>
        <w:t xml:space="preserve">  </w:t>
      </w:r>
      <w:r>
        <w:t xml:space="preserve"> “</w:t>
      </w:r>
      <w:r>
        <w:rPr>
          <w:rFonts w:hint="eastAsia"/>
        </w:rPr>
        <w:t>学员培训经费</w:t>
      </w:r>
      <w:r>
        <w:t>”长期绩效目标</w:t>
      </w:r>
      <w:bookmarkEnd w:id="28"/>
      <w:bookmarkEnd w:id="29"/>
      <w:bookmarkEnd w:id="30"/>
      <w:bookmarkEnd w:id="31"/>
    </w:p>
    <w:tbl>
      <w:tblPr>
        <w:tblStyle w:val="7"/>
        <w:tblW w:w="8336"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1348"/>
        <w:gridCol w:w="1890"/>
        <w:gridCol w:w="3478"/>
        <w:gridCol w:w="16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90" w:hRule="atLeast"/>
          <w:jc w:val="center"/>
        </w:trPr>
        <w:tc>
          <w:tcPr>
            <w:tcW w:w="1348" w:type="dxa"/>
            <w:vMerge w:val="restart"/>
            <w:tcBorders>
              <w:tl2br w:val="nil"/>
              <w:tr2bl w:val="nil"/>
            </w:tcBorders>
            <w:shd w:val="clear" w:color="auto" w:fill="auto"/>
            <w:vAlign w:val="center"/>
          </w:tcPr>
          <w:p>
            <w:pPr>
              <w:widowControl/>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一级指标</w:t>
            </w:r>
          </w:p>
        </w:tc>
        <w:tc>
          <w:tcPr>
            <w:tcW w:w="1890" w:type="dxa"/>
            <w:vMerge w:val="restart"/>
            <w:tcBorders>
              <w:tl2br w:val="nil"/>
              <w:tr2bl w:val="nil"/>
            </w:tcBorders>
            <w:shd w:val="clear" w:color="auto" w:fill="auto"/>
            <w:vAlign w:val="center"/>
          </w:tcPr>
          <w:p>
            <w:pPr>
              <w:widowControl/>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二级指标</w:t>
            </w:r>
          </w:p>
        </w:tc>
        <w:tc>
          <w:tcPr>
            <w:tcW w:w="3478" w:type="dxa"/>
            <w:vMerge w:val="restart"/>
            <w:tcBorders>
              <w:tl2br w:val="nil"/>
              <w:tr2bl w:val="nil"/>
            </w:tcBorders>
            <w:shd w:val="clear" w:color="auto" w:fill="auto"/>
            <w:vAlign w:val="center"/>
          </w:tcPr>
          <w:p>
            <w:pPr>
              <w:widowControl/>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指标名称</w:t>
            </w:r>
          </w:p>
        </w:tc>
        <w:tc>
          <w:tcPr>
            <w:tcW w:w="1620" w:type="dxa"/>
            <w:vMerge w:val="restart"/>
            <w:tcBorders>
              <w:tl2br w:val="nil"/>
              <w:tr2bl w:val="nil"/>
            </w:tcBorders>
            <w:shd w:val="clear" w:color="auto" w:fill="auto"/>
            <w:vAlign w:val="center"/>
          </w:tcPr>
          <w:p>
            <w:pPr>
              <w:widowControl/>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指标值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jc w:val="center"/>
        </w:trPr>
        <w:tc>
          <w:tcPr>
            <w:tcW w:w="1348" w:type="dxa"/>
            <w:vMerge w:val="continue"/>
            <w:tcBorders>
              <w:tl2br w:val="nil"/>
              <w:tr2bl w:val="nil"/>
            </w:tcBorders>
            <w:shd w:val="clear" w:color="auto" w:fill="auto"/>
            <w:vAlign w:val="center"/>
          </w:tcPr>
          <w:p>
            <w:pPr>
              <w:ind w:firstLine="420"/>
              <w:jc w:val="center"/>
              <w:rPr>
                <w:rFonts w:ascii="宋体" w:hAnsi="宋体" w:eastAsia="宋体" w:cs="宋体"/>
                <w:color w:val="000000"/>
                <w:sz w:val="21"/>
                <w:szCs w:val="21"/>
              </w:rPr>
            </w:pPr>
          </w:p>
        </w:tc>
        <w:tc>
          <w:tcPr>
            <w:tcW w:w="1890" w:type="dxa"/>
            <w:vMerge w:val="continue"/>
            <w:tcBorders>
              <w:tl2br w:val="nil"/>
              <w:tr2bl w:val="nil"/>
            </w:tcBorders>
            <w:shd w:val="clear" w:color="auto" w:fill="auto"/>
            <w:vAlign w:val="center"/>
          </w:tcPr>
          <w:p>
            <w:pPr>
              <w:ind w:firstLine="422"/>
              <w:jc w:val="center"/>
              <w:rPr>
                <w:rFonts w:ascii="宋体" w:hAnsi="宋体" w:eastAsia="宋体" w:cs="宋体"/>
                <w:b/>
                <w:bCs/>
                <w:color w:val="000000"/>
                <w:sz w:val="21"/>
                <w:szCs w:val="21"/>
              </w:rPr>
            </w:pPr>
          </w:p>
        </w:tc>
        <w:tc>
          <w:tcPr>
            <w:tcW w:w="3478" w:type="dxa"/>
            <w:vMerge w:val="continue"/>
            <w:tcBorders>
              <w:tl2br w:val="nil"/>
              <w:tr2bl w:val="nil"/>
            </w:tcBorders>
            <w:shd w:val="clear" w:color="auto" w:fill="auto"/>
            <w:vAlign w:val="center"/>
          </w:tcPr>
          <w:p>
            <w:pPr>
              <w:ind w:firstLine="420"/>
              <w:jc w:val="center"/>
              <w:rPr>
                <w:rFonts w:ascii="宋体" w:hAnsi="宋体" w:eastAsia="宋体" w:cs="宋体"/>
                <w:color w:val="000000"/>
                <w:sz w:val="21"/>
                <w:szCs w:val="21"/>
              </w:rPr>
            </w:pPr>
          </w:p>
        </w:tc>
        <w:tc>
          <w:tcPr>
            <w:tcW w:w="1620" w:type="dxa"/>
            <w:vMerge w:val="continue"/>
            <w:tcBorders>
              <w:tl2br w:val="nil"/>
              <w:tr2bl w:val="nil"/>
            </w:tcBorders>
            <w:shd w:val="clear" w:color="auto" w:fill="auto"/>
            <w:vAlign w:val="center"/>
          </w:tcPr>
          <w:p>
            <w:pPr>
              <w:ind w:firstLine="420"/>
              <w:jc w:val="center"/>
              <w:rPr>
                <w:rFonts w:ascii="宋体" w:hAnsi="宋体" w:eastAsia="宋体" w:cs="宋体"/>
                <w:color w:val="000000"/>
                <w:sz w:val="21"/>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质量指标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政治把握能力</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质量指标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参政议政能力</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质量指标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组织领导能力</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质量指标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合作共事能力</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质量指标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解决自身问题能力</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社会效益指标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毕业学员党派参与度</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社会效益指标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学员发展进步</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教授级专家学者</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教师队伍培养</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教师队伍管理</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教师队伍结构</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2比5比3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开展港澳台学术交流</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2次/年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39"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开展港澳台人士教学</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3期/年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jc w:val="center"/>
        </w:trPr>
        <w:tc>
          <w:tcPr>
            <w:tcW w:w="134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9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3478"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开展港澳台相关课题科研合作，</w:t>
            </w:r>
          </w:p>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并形成一个有特色研究方向</w:t>
            </w:r>
          </w:p>
        </w:tc>
        <w:tc>
          <w:tcPr>
            <w:tcW w:w="1620"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1个</w:t>
            </w:r>
          </w:p>
        </w:tc>
      </w:tr>
    </w:tbl>
    <w:p>
      <w:pPr>
        <w:ind w:firstLine="602"/>
      </w:pPr>
      <w:r>
        <w:rPr>
          <w:rFonts w:hint="eastAsia"/>
          <w:b/>
          <w:bCs/>
        </w:rPr>
        <w:t>2.年度目标</w:t>
      </w:r>
      <w:r>
        <w:rPr>
          <w:rFonts w:hint="eastAsia"/>
        </w:rPr>
        <w:t>：教育培训方面，保质保量地完成省委统战部下达的培训任务，通过教育培训，使党的政治主张成为广大党外代表人士的共识，不断增强他们的“四个自信”，筑牢统一战线广大成员团结奋斗的共同思想政治基础；深化教学改革，不断提高办法水平；加强教学和行政管理能力建设，推动正规化建设上新台阶。</w:t>
      </w:r>
    </w:p>
    <w:p>
      <w:pPr>
        <w:numPr>
          <w:ilvl w:val="255"/>
          <w:numId w:val="0"/>
        </w:numPr>
        <w:jc w:val="center"/>
      </w:pPr>
      <w:bookmarkStart w:id="32" w:name="_Toc6101_WPSOffice_Level2"/>
      <w:bookmarkStart w:id="33" w:name="_Toc10346_WPSOffice_Level2"/>
      <w:bookmarkStart w:id="34" w:name="_Toc23587_WPSOffice_Level2"/>
      <w:bookmarkStart w:id="35" w:name="_Toc10299_WPSOffice_Level2"/>
    </w:p>
    <w:p>
      <w:pPr>
        <w:numPr>
          <w:ilvl w:val="255"/>
          <w:numId w:val="0"/>
        </w:numPr>
        <w:jc w:val="center"/>
      </w:pPr>
    </w:p>
    <w:p>
      <w:pPr>
        <w:numPr>
          <w:ilvl w:val="255"/>
          <w:numId w:val="0"/>
        </w:numPr>
        <w:jc w:val="center"/>
      </w:pPr>
    </w:p>
    <w:p>
      <w:pPr>
        <w:numPr>
          <w:ilvl w:val="255"/>
          <w:numId w:val="0"/>
        </w:numPr>
        <w:jc w:val="center"/>
      </w:pPr>
      <w:r>
        <w:t xml:space="preserve">表2 </w:t>
      </w:r>
      <w:r>
        <w:rPr>
          <w:rFonts w:hint="eastAsia"/>
        </w:rPr>
        <w:t xml:space="preserve">  </w:t>
      </w:r>
      <w:r>
        <w:t>“</w:t>
      </w:r>
      <w:r>
        <w:rPr>
          <w:rFonts w:hint="eastAsia"/>
        </w:rPr>
        <w:t>学员培训经费</w:t>
      </w:r>
      <w:r>
        <w:t>”年度绩效目标</w:t>
      </w:r>
      <w:bookmarkEnd w:id="32"/>
      <w:bookmarkEnd w:id="33"/>
      <w:bookmarkEnd w:id="34"/>
      <w:bookmarkEnd w:id="35"/>
    </w:p>
    <w:tbl>
      <w:tblPr>
        <w:tblStyle w:val="7"/>
        <w:tblpPr w:leftFromText="180" w:rightFromText="180" w:vertAnchor="text" w:horzAnchor="page" w:tblpX="1589" w:tblpY="633"/>
        <w:tblOverlap w:val="never"/>
        <w:tblW w:w="8336"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1885"/>
        <w:gridCol w:w="1885"/>
        <w:gridCol w:w="2675"/>
        <w:gridCol w:w="189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1042"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一级指标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b/>
                <w:bCs/>
                <w:color w:val="000000"/>
                <w:sz w:val="21"/>
                <w:szCs w:val="21"/>
              </w:rPr>
            </w:pPr>
            <w:r>
              <w:rPr>
                <w:rFonts w:hint="eastAsia" w:ascii="宋体" w:hAnsi="宋体" w:eastAsia="宋体" w:cs="宋体"/>
                <w:b/>
                <w:bCs/>
                <w:color w:val="000000"/>
                <w:kern w:val="0"/>
                <w:sz w:val="21"/>
                <w:szCs w:val="21"/>
                <w:lang w:bidi="ar"/>
              </w:rPr>
              <w:t>二级指标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指标名称</w:t>
            </w:r>
          </w:p>
        </w:tc>
        <w:tc>
          <w:tcPr>
            <w:tcW w:w="1891" w:type="dxa"/>
            <w:tcBorders>
              <w:left w:val="single" w:color="auto" w:sz="4" w:space="0"/>
              <w:tl2br w:val="nil"/>
              <w:tr2bl w:val="nil"/>
            </w:tcBorders>
            <w:shd w:val="clear" w:color="auto" w:fill="auto"/>
            <w:vAlign w:val="center"/>
          </w:tcPr>
          <w:p>
            <w:pPr>
              <w:widowControl/>
              <w:ind w:firstLine="0" w:firstLineChars="0"/>
              <w:jc w:val="center"/>
              <w:textAlignment w:val="center"/>
              <w:rPr>
                <w:rFonts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预期当年实现值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党外代表人士培训班</w:t>
            </w:r>
          </w:p>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（主体）</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党外代表人士培训班</w:t>
            </w:r>
          </w:p>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（非主体）</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民族宗教人士培训班</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统战干部培训班</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非公人士培训班</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其他统战对象培训班</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统战理论师资班</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社会新阶层培训班</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乡镇干部培训班</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培训学员人数</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2000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打造名师精品课程</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教学计划完成率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教学档案归档及时率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学员考评及时率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07"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教学评估及时率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无线网络覆盖率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100%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产出指标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数量指标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专题教学及时率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服务对象满意度</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具体指标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学员对专职教师满意度</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服务对象满意度</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具体指标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学员对课程设置满意度</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服务对象满意度</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具体指标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学员对兼职教师满意度</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社会效益指标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对社院服务的满意度</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社会效益指标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后勤服务满意率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社会效益指标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解决社会就业数</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可持续影响指标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设备正常运转情况</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正常</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可持续影响指标</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保安应急处理能力</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合格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经济效益</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门面出租收益</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70万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经济效益</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设备采购有无超标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经济效益</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维修维保有无超标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543" w:hRule="atLeast"/>
        </w:trPr>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效益指标</w:t>
            </w:r>
          </w:p>
        </w:tc>
        <w:tc>
          <w:tcPr>
            <w:tcW w:w="188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经济效益</w:t>
            </w:r>
          </w:p>
        </w:tc>
        <w:tc>
          <w:tcPr>
            <w:tcW w:w="2675"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餐饮保障超标率</w:t>
            </w:r>
          </w:p>
        </w:tc>
        <w:tc>
          <w:tcPr>
            <w:tcW w:w="1891" w:type="dxa"/>
            <w:tcBorders>
              <w:tl2br w:val="nil"/>
              <w:tr2bl w:val="nil"/>
            </w:tcBorders>
            <w:shd w:val="clear" w:color="auto" w:fill="auto"/>
            <w:vAlign w:val="center"/>
          </w:tcPr>
          <w:p>
            <w:pPr>
              <w:widowControl/>
              <w:ind w:firstLine="0" w:firstLineChars="0"/>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无</w:t>
            </w:r>
          </w:p>
        </w:tc>
      </w:tr>
    </w:tbl>
    <w:p>
      <w:pPr>
        <w:pStyle w:val="2"/>
        <w:ind w:firstLine="602"/>
      </w:pPr>
      <w:bookmarkStart w:id="36" w:name="_Toc12271_WPSOffice_Level1"/>
      <w:bookmarkStart w:id="37" w:name="_Toc1028_WPSOffice_Level1"/>
      <w:bookmarkStart w:id="38" w:name="_Toc25571_WPSOffice_Level1"/>
      <w:bookmarkStart w:id="39" w:name="_Toc28758_WPSOffice_Level1"/>
      <w:bookmarkStart w:id="40" w:name="_Toc25207_WPSOffice_Level1"/>
      <w:r>
        <w:rPr>
          <w:rFonts w:hint="eastAsia"/>
        </w:rPr>
        <w:t>二、绩效自评工作开展情况</w:t>
      </w:r>
      <w:bookmarkEnd w:id="36"/>
      <w:bookmarkEnd w:id="37"/>
      <w:bookmarkEnd w:id="38"/>
      <w:bookmarkEnd w:id="39"/>
      <w:bookmarkEnd w:id="40"/>
    </w:p>
    <w:p>
      <w:pPr>
        <w:ind w:firstLine="600"/>
      </w:pPr>
      <w:r>
        <w:rPr>
          <w:rFonts w:hint="eastAsia"/>
        </w:rPr>
        <w:t>根据《省财政厅关于2018年开展财政支出绩效评价工作的通知》（鄂财绩发〔2018〕5号）文件要求，为保障省社会主义学院“学员培训经费”绩效评价工作的顺利开展，学院引入第三方评价机构成立绩效评价工作专班，确定绩效评价工作流程，制定工作方案，指定了各个项目责任部门联络员，确保了绩效评价结果的质量。</w:t>
      </w:r>
    </w:p>
    <w:p>
      <w:pPr>
        <w:ind w:firstLine="600"/>
      </w:pPr>
    </w:p>
    <w:p>
      <w:pPr>
        <w:ind w:firstLine="600"/>
      </w:pPr>
    </w:p>
    <w:p>
      <w:pPr>
        <w:ind w:firstLine="600"/>
      </w:pPr>
    </w:p>
    <w:p>
      <w:pPr>
        <w:ind w:firstLine="600"/>
      </w:pPr>
    </w:p>
    <w:p>
      <w:pPr>
        <w:ind w:firstLine="600"/>
      </w:pPr>
    </w:p>
    <w:p>
      <w:pPr>
        <w:spacing w:line="360" w:lineRule="auto"/>
        <w:ind w:firstLine="0" w:firstLineChars="0"/>
        <w:jc w:val="center"/>
        <w:rPr>
          <w:rFonts w:hAnsi="仿宋_GB2312"/>
          <w:sz w:val="28"/>
          <w:szCs w:val="28"/>
        </w:rPr>
      </w:pPr>
      <w:bookmarkStart w:id="41" w:name="_Toc30468_WPSOffice_Level2"/>
      <w:bookmarkStart w:id="42" w:name="_Toc26812_WPSOffice_Level2"/>
      <w:bookmarkStart w:id="43" w:name="_Toc24373_WPSOffice_Level2"/>
      <w:bookmarkStart w:id="44" w:name="_Toc32456_WPSOffice_Level2"/>
      <w:bookmarkStart w:id="45" w:name="_Toc30293_WPSOffice_Level2"/>
      <w:r>
        <w:rPr>
          <w:rFonts w:hint="eastAsia" w:hAnsi="仿宋_GB2312"/>
          <w:sz w:val="28"/>
          <w:szCs w:val="28"/>
        </w:rPr>
        <w:t>图1 绩效评价工作流程</w:t>
      </w:r>
      <w:bookmarkEnd w:id="41"/>
      <w:bookmarkEnd w:id="42"/>
      <w:bookmarkEnd w:id="43"/>
    </w:p>
    <w:p>
      <w:pPr>
        <w:spacing w:line="360" w:lineRule="auto"/>
        <w:ind w:firstLine="600"/>
        <w:rPr>
          <w:b/>
          <w:bCs/>
        </w:rPr>
      </w:pPr>
      <w:r>
        <w:object>
          <v:shape id="_x0000_i1025" o:spt="75" type="#_x0000_t75" style="height:456pt;width:439.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bookmarkEnd w:id="44"/>
      <w:bookmarkEnd w:id="45"/>
      <w:bookmarkStart w:id="46" w:name="_Toc14013_WPSOffice_Level2"/>
      <w:r>
        <w:rPr>
          <w:rFonts w:hint="eastAsia"/>
        </w:rPr>
        <w:t xml:space="preserve">    </w:t>
      </w:r>
      <w:r>
        <w:rPr>
          <w:b/>
          <w:bCs/>
        </w:rPr>
        <w:t>（一）项目启动阶段</w:t>
      </w:r>
      <w:bookmarkEnd w:id="46"/>
    </w:p>
    <w:p>
      <w:pPr>
        <w:spacing w:line="360" w:lineRule="auto"/>
        <w:ind w:firstLine="600"/>
        <w:rPr>
          <w:rFonts w:ascii="仿宋_GB2312" w:hAnsi="仿宋_GB2312" w:cs="仿宋_GB2312"/>
          <w:szCs w:val="30"/>
        </w:rPr>
      </w:pPr>
      <w:r>
        <w:rPr>
          <w:rFonts w:hint="eastAsia" w:ascii="仿宋_GB2312" w:hAnsi="仿宋_GB2312" w:cs="仿宋_GB2312"/>
          <w:szCs w:val="30"/>
        </w:rPr>
        <w:t>制定绩效评价工作方案，明确自评工作组成员、相关责任人、目标分工等各项要求，并安排落实此次绩效评价项目的实施进度。</w:t>
      </w:r>
    </w:p>
    <w:p>
      <w:pPr>
        <w:pStyle w:val="3"/>
        <w:ind w:firstLine="602"/>
        <w:rPr>
          <w:rFonts w:ascii="仿宋_GB2312" w:hAnsi="仿宋_GB2312" w:cs="仿宋_GB2312"/>
        </w:rPr>
      </w:pPr>
      <w:bookmarkStart w:id="47" w:name="_Toc28570_WPSOffice_Level2"/>
      <w:bookmarkStart w:id="48" w:name="_Toc7003_WPSOffice_Level2"/>
      <w:r>
        <w:rPr>
          <w:rFonts w:hint="eastAsia" w:ascii="仿宋_GB2312" w:hAnsi="仿宋_GB2312" w:cs="仿宋_GB2312"/>
        </w:rPr>
        <w:t>（二）收集资料阶段</w:t>
      </w:r>
      <w:bookmarkEnd w:id="47"/>
      <w:bookmarkEnd w:id="48"/>
    </w:p>
    <w:p>
      <w:pPr>
        <w:spacing w:line="360" w:lineRule="auto"/>
        <w:ind w:firstLine="600"/>
        <w:rPr>
          <w:rFonts w:ascii="仿宋_GB2312" w:hAnsi="仿宋_GB2312" w:cs="仿宋_GB2312"/>
          <w:szCs w:val="30"/>
        </w:rPr>
      </w:pPr>
      <w:r>
        <w:rPr>
          <w:rFonts w:hint="eastAsia" w:ascii="仿宋_GB2312" w:hAnsi="仿宋_GB2312" w:cs="仿宋_GB2312"/>
          <w:szCs w:val="30"/>
        </w:rPr>
        <w:t>收集各类基础数据，建立基础表。结合绩效评价工作方案和绩效评价指标体系，进一步明确评价对象、评价任务、评价内容、评价机构、时间安排和工作要求。</w:t>
      </w:r>
    </w:p>
    <w:p>
      <w:pPr>
        <w:pStyle w:val="3"/>
        <w:ind w:firstLine="602"/>
      </w:pPr>
      <w:bookmarkStart w:id="49" w:name="_Toc10263_WPSOffice_Level2"/>
      <w:bookmarkStart w:id="50" w:name="_Toc32105_WPSOffice_Level2"/>
      <w:r>
        <w:rPr>
          <w:rFonts w:hint="eastAsia"/>
        </w:rPr>
        <w:t>（三）现场评价实施阶段</w:t>
      </w:r>
      <w:bookmarkEnd w:id="49"/>
      <w:bookmarkEnd w:id="50"/>
    </w:p>
    <w:p>
      <w:pPr>
        <w:spacing w:line="360" w:lineRule="auto"/>
        <w:ind w:firstLine="600"/>
        <w:rPr>
          <w:rFonts w:ascii="仿宋_GB2312" w:hAnsi="仿宋_GB2312" w:cs="仿宋_GB2312"/>
          <w:szCs w:val="30"/>
        </w:rPr>
      </w:pPr>
      <w:r>
        <w:rPr>
          <w:rFonts w:hint="eastAsia" w:ascii="仿宋_GB2312" w:hAnsi="仿宋_GB2312" w:cs="仿宋_GB2312"/>
          <w:szCs w:val="30"/>
        </w:rPr>
        <w:t>根据项目实际情况，组织评价工作组人员开展现场评价，主要采取访谈、资料核查、问卷调查、专项资金审计等方式进行。</w:t>
      </w:r>
    </w:p>
    <w:p>
      <w:pPr>
        <w:pStyle w:val="3"/>
        <w:ind w:firstLine="602"/>
      </w:pPr>
      <w:bookmarkStart w:id="51" w:name="_Toc12887_WPSOffice_Level2"/>
      <w:bookmarkStart w:id="52" w:name="_Toc8203_WPSOffice_Level2"/>
      <w:r>
        <w:rPr>
          <w:rFonts w:hint="eastAsia"/>
        </w:rPr>
        <w:t>（四）报告撰写阶段</w:t>
      </w:r>
      <w:bookmarkEnd w:id="51"/>
      <w:bookmarkEnd w:id="52"/>
    </w:p>
    <w:p>
      <w:pPr>
        <w:spacing w:line="360" w:lineRule="auto"/>
        <w:ind w:firstLine="600"/>
        <w:rPr>
          <w:rFonts w:ascii="仿宋_GB2312"/>
          <w:b/>
          <w:bCs/>
          <w:szCs w:val="32"/>
        </w:rPr>
      </w:pPr>
      <w:r>
        <w:rPr>
          <w:rFonts w:hint="eastAsia" w:ascii="仿宋_GB2312" w:hAnsi="仿宋_GB2312" w:cs="仿宋_GB2312"/>
          <w:szCs w:val="30"/>
        </w:rPr>
        <w:t>评价工作组根据现场评价情况和书面资料整理分析情况，围绕评价指标体系对项目绩效进行评分，并撰写绩效评价报告。评价工作组提交绩效评价报告初稿，根据反馈意见修改绩效评价报告。</w:t>
      </w:r>
    </w:p>
    <w:p>
      <w:pPr>
        <w:pStyle w:val="2"/>
        <w:numPr>
          <w:ilvl w:val="0"/>
          <w:numId w:val="2"/>
        </w:numPr>
        <w:ind w:firstLine="602"/>
      </w:pPr>
      <w:bookmarkStart w:id="53" w:name="_Toc6227_WPSOffice_Level1"/>
      <w:bookmarkStart w:id="54" w:name="_Toc8576_WPSOffice_Level1"/>
      <w:bookmarkStart w:id="55" w:name="_Toc1328_WPSOffice_Level1"/>
      <w:bookmarkStart w:id="56" w:name="_Toc7709_WPSOffice_Level1"/>
      <w:bookmarkStart w:id="57" w:name="_Toc441_WPSOffice_Level1"/>
      <w:r>
        <w:rPr>
          <w:rFonts w:hint="eastAsia"/>
        </w:rPr>
        <w:t>综合评价结论</w:t>
      </w:r>
      <w:bookmarkEnd w:id="53"/>
      <w:bookmarkEnd w:id="54"/>
      <w:bookmarkEnd w:id="55"/>
      <w:bookmarkEnd w:id="56"/>
      <w:bookmarkEnd w:id="57"/>
    </w:p>
    <w:p>
      <w:pPr>
        <w:ind w:firstLine="600"/>
      </w:pPr>
      <w:r>
        <w:rPr>
          <w:rFonts w:hint="eastAsia"/>
        </w:rPr>
        <w:t>经综合分析和评价，省社会主义学院“学员培训经费”项目年度绩效指标共29个，其中无考核意义指标3个，完成率达到100%的指标共22个，占项目支出指标85%，基本达到项目绩效目标。</w:t>
      </w:r>
    </w:p>
    <w:p>
      <w:pPr>
        <w:spacing w:line="360" w:lineRule="auto"/>
        <w:ind w:firstLine="0" w:firstLineChars="0"/>
        <w:jc w:val="center"/>
        <w:rPr>
          <w:rFonts w:hAnsi="仿宋_GB2312"/>
          <w:sz w:val="28"/>
          <w:szCs w:val="28"/>
        </w:rPr>
      </w:pPr>
      <w:bookmarkStart w:id="58" w:name="_Toc26930_WPSOffice_Level2"/>
      <w:bookmarkStart w:id="59" w:name="_Toc23765_WPSOffice_Level2"/>
    </w:p>
    <w:p>
      <w:pPr>
        <w:spacing w:line="360" w:lineRule="auto"/>
        <w:ind w:firstLine="0" w:firstLineChars="0"/>
        <w:jc w:val="center"/>
        <w:rPr>
          <w:rFonts w:hAnsi="仿宋_GB2312"/>
          <w:sz w:val="28"/>
          <w:szCs w:val="28"/>
        </w:rPr>
      </w:pPr>
    </w:p>
    <w:p>
      <w:pPr>
        <w:spacing w:line="360" w:lineRule="auto"/>
        <w:ind w:firstLine="0" w:firstLineChars="0"/>
        <w:jc w:val="center"/>
        <w:rPr>
          <w:rFonts w:hAnsi="仿宋_GB2312"/>
          <w:sz w:val="28"/>
          <w:szCs w:val="28"/>
        </w:rPr>
      </w:pPr>
    </w:p>
    <w:p>
      <w:pPr>
        <w:spacing w:line="360" w:lineRule="auto"/>
        <w:ind w:firstLine="0" w:firstLineChars="0"/>
        <w:jc w:val="both"/>
        <w:rPr>
          <w:rFonts w:hAnsi="仿宋_GB2312"/>
          <w:sz w:val="28"/>
          <w:szCs w:val="28"/>
        </w:rPr>
      </w:pPr>
    </w:p>
    <w:p>
      <w:pPr>
        <w:spacing w:line="360" w:lineRule="auto"/>
        <w:ind w:firstLine="0" w:firstLineChars="0"/>
        <w:jc w:val="both"/>
        <w:rPr>
          <w:rFonts w:hAnsi="仿宋_GB2312"/>
          <w:sz w:val="28"/>
          <w:szCs w:val="28"/>
        </w:rPr>
      </w:pPr>
    </w:p>
    <w:p>
      <w:pPr>
        <w:spacing w:line="360" w:lineRule="auto"/>
        <w:ind w:firstLine="0" w:firstLineChars="0"/>
        <w:jc w:val="both"/>
        <w:rPr>
          <w:rFonts w:hAnsi="仿宋_GB2312"/>
          <w:sz w:val="28"/>
          <w:szCs w:val="28"/>
        </w:rPr>
      </w:pPr>
    </w:p>
    <w:p>
      <w:pPr>
        <w:spacing w:line="360" w:lineRule="auto"/>
        <w:ind w:firstLine="0" w:firstLineChars="0"/>
        <w:jc w:val="center"/>
        <w:rPr>
          <w:rFonts w:hint="eastAsia" w:hAnsi="仿宋_GB2312"/>
          <w:sz w:val="28"/>
          <w:szCs w:val="28"/>
        </w:rPr>
      </w:pPr>
      <w:bookmarkStart w:id="60" w:name="_Toc15464_WPSOffice_Level2"/>
      <w:bookmarkStart w:id="61" w:name="_Toc20301_WPSOffice_Level2"/>
      <w:bookmarkStart w:id="62" w:name="_Toc8606_WPSOffice_Level2"/>
      <w:r>
        <w:rPr>
          <w:rFonts w:hint="eastAsia" w:hAnsi="仿宋_GB2312"/>
          <w:sz w:val="28"/>
          <w:szCs w:val="28"/>
        </w:rPr>
        <w:t>表3  绩效目标完成情况表</w:t>
      </w:r>
      <w:bookmarkEnd w:id="58"/>
      <w:bookmarkEnd w:id="59"/>
      <w:bookmarkEnd w:id="60"/>
      <w:bookmarkEnd w:id="61"/>
      <w:bookmarkEnd w:id="62"/>
    </w:p>
    <w:p>
      <w:pPr>
        <w:spacing w:line="360" w:lineRule="auto"/>
        <w:ind w:firstLine="0" w:firstLineChars="0"/>
        <w:jc w:val="center"/>
        <w:rPr>
          <w:rFonts w:ascii="仿宋_GB2312" w:hAnsi="仿宋_GB2312" w:cs="仿宋_GB2312"/>
          <w:szCs w:val="30"/>
        </w:rPr>
      </w:pPr>
      <w:r>
        <w:drawing>
          <wp:inline distT="0" distB="0" distL="114300" distR="114300">
            <wp:extent cx="5268595" cy="4009390"/>
            <wp:effectExtent l="0" t="0" r="8255"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5268595" cy="4009390"/>
                    </a:xfrm>
                    <a:prstGeom prst="rect">
                      <a:avLst/>
                    </a:prstGeom>
                    <a:noFill/>
                    <a:ln w="9525">
                      <a:noFill/>
                    </a:ln>
                  </pic:spPr>
                </pic:pic>
              </a:graphicData>
            </a:graphic>
          </wp:inline>
        </w:drawing>
      </w:r>
    </w:p>
    <w:p>
      <w:pPr>
        <w:pStyle w:val="2"/>
        <w:ind w:firstLine="602"/>
      </w:pPr>
      <w:bookmarkStart w:id="63" w:name="_Toc24373_WPSOffice_Level1"/>
      <w:bookmarkStart w:id="64" w:name="_Toc20051_WPSOffice_Level1"/>
      <w:bookmarkStart w:id="65" w:name="_Toc338_WPSOffice_Level1"/>
      <w:bookmarkStart w:id="66" w:name="_Toc17998_WPSOffice_Level1"/>
      <w:bookmarkStart w:id="67" w:name="_Toc20463_WPSOffice_Level1"/>
      <w:r>
        <w:rPr>
          <w:rFonts w:hint="eastAsia"/>
        </w:rPr>
        <w:t>四、绩效目标实现情况分析</w:t>
      </w:r>
      <w:bookmarkEnd w:id="63"/>
      <w:bookmarkEnd w:id="64"/>
      <w:bookmarkEnd w:id="65"/>
      <w:bookmarkEnd w:id="66"/>
      <w:bookmarkEnd w:id="67"/>
    </w:p>
    <w:p>
      <w:pPr>
        <w:pStyle w:val="3"/>
        <w:ind w:firstLine="602"/>
        <w:rPr>
          <w:rFonts w:ascii="楷体_GB2312" w:hAnsi="楷体_GB2312" w:eastAsia="楷体_GB2312" w:cs="楷体_GB2312"/>
          <w:bCs/>
          <w:szCs w:val="32"/>
        </w:rPr>
      </w:pPr>
      <w:bookmarkStart w:id="68" w:name="_Toc3468_WPSOffice_Level2"/>
      <w:bookmarkStart w:id="69" w:name="_Toc6218_WPSOffice_Level2"/>
      <w:bookmarkStart w:id="70" w:name="_Toc28197_WPSOffice_Level2"/>
      <w:r>
        <w:rPr>
          <w:rFonts w:hint="eastAsia"/>
        </w:rPr>
        <w:t>（一）项目资金情况分析</w:t>
      </w:r>
      <w:bookmarkEnd w:id="68"/>
      <w:bookmarkEnd w:id="69"/>
      <w:bookmarkEnd w:id="70"/>
    </w:p>
    <w:p>
      <w:pPr>
        <w:ind w:firstLine="602"/>
        <w:rPr>
          <w:b/>
          <w:bCs/>
        </w:rPr>
      </w:pPr>
      <w:r>
        <w:rPr>
          <w:rFonts w:hint="eastAsia"/>
          <w:b/>
          <w:bCs/>
        </w:rPr>
        <w:t>1.项目资金到位情况分析</w:t>
      </w:r>
    </w:p>
    <w:p>
      <w:pPr>
        <w:ind w:firstLine="600"/>
        <w:rPr>
          <w:rFonts w:ascii="仿宋_GB2312" w:hAnsi="仿宋_GB2312" w:cs="仿宋_GB2312"/>
        </w:rPr>
      </w:pPr>
      <w:r>
        <w:rPr>
          <w:rFonts w:hint="eastAsia" w:ascii="仿宋_GB2312" w:hAnsi="仿宋_GB2312" w:cs="仿宋_GB2312"/>
        </w:rPr>
        <w:t>从总体上看，2017年省社会主义学院“学员培训经费”当年初批复预算资金总额615.76万元，实际到位资金总额615.76万元，资金均为省级财政拨款，项目资金到位率为100%。</w:t>
      </w:r>
    </w:p>
    <w:p>
      <w:pPr>
        <w:ind w:firstLine="600"/>
        <w:rPr>
          <w:rFonts w:ascii="仿宋_GB2312" w:hAnsi="仿宋_GB2312" w:cs="仿宋_GB2312"/>
        </w:rPr>
      </w:pPr>
      <w:r>
        <w:rPr>
          <w:rFonts w:hint="eastAsia" w:ascii="仿宋_GB2312" w:hAnsi="仿宋_GB2312" w:cs="仿宋_GB2312"/>
        </w:rPr>
        <w:t>从资金预算明细上来看，项目资金中维修维保费28万元、物业费7.8万元、培训费188.35</w:t>
      </w:r>
      <w:bookmarkStart w:id="71" w:name="_Toc8048_WPSOffice_Level2"/>
      <w:r>
        <w:rPr>
          <w:rFonts w:hint="eastAsia" w:ascii="仿宋_GB2312" w:hAnsi="仿宋_GB2312" w:cs="仿宋_GB2312"/>
        </w:rPr>
        <w:t>万元、劳务费220万元、 新增资产46.11万元、水电费64万元、“三万”及精准扶贫30万元、办公费17.8万元、邮电费13.7万元。</w:t>
      </w:r>
    </w:p>
    <w:p>
      <w:pPr>
        <w:ind w:firstLine="600"/>
        <w:jc w:val="center"/>
      </w:pPr>
      <w:bookmarkStart w:id="72" w:name="_Toc30654_WPSOffice_Level2"/>
      <w:bookmarkStart w:id="73" w:name="_Toc11305_WPSOffice_Level2"/>
      <w:r>
        <w:rPr>
          <w:rFonts w:hint="eastAsia"/>
        </w:rPr>
        <w:t>图2项目资金明细对比</w:t>
      </w:r>
      <w:bookmarkEnd w:id="71"/>
      <w:r>
        <w:rPr>
          <w:rFonts w:hint="eastAsia"/>
        </w:rPr>
        <w:t>图</w:t>
      </w:r>
      <w:bookmarkEnd w:id="72"/>
      <w:bookmarkEnd w:id="73"/>
    </w:p>
    <w:p>
      <w:pPr>
        <w:ind w:firstLine="0" w:firstLineChars="0"/>
        <w:jc w:val="center"/>
        <w:rPr>
          <w:rFonts w:ascii="仿宋_GB2312"/>
          <w:szCs w:val="32"/>
        </w:rPr>
      </w:pPr>
      <w:r>
        <w:drawing>
          <wp:inline distT="0" distB="0" distL="114300" distR="114300">
            <wp:extent cx="4258310" cy="2581910"/>
            <wp:effectExtent l="4445" t="4445" r="23495"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02"/>
        <w:rPr>
          <w:rFonts w:ascii="仿宋_GB2312"/>
          <w:sz w:val="28"/>
          <w:szCs w:val="28"/>
        </w:rPr>
      </w:pPr>
      <w:r>
        <w:rPr>
          <w:rFonts w:hint="eastAsia"/>
          <w:b/>
          <w:bCs/>
        </w:rPr>
        <w:t>2.项目资金执行情况分析。</w:t>
      </w:r>
      <w:bookmarkStart w:id="74" w:name="_Toc31935_WPSOffice_Level2"/>
      <w:bookmarkStart w:id="75" w:name="_Toc21066_WPSOffice_Level2"/>
    </w:p>
    <w:p>
      <w:pPr>
        <w:ind w:firstLine="600"/>
        <w:rPr>
          <w:rFonts w:ascii="仿宋_GB2312" w:hAnsi="仿宋_GB2312" w:cs="仿宋_GB2312"/>
        </w:rPr>
      </w:pPr>
      <w:bookmarkStart w:id="76" w:name="_Toc28483_WPSOffice_Level2"/>
      <w:bookmarkStart w:id="77" w:name="_Toc4469_WPSOffice_Level2"/>
      <w:r>
        <w:rPr>
          <w:rFonts w:hint="eastAsia" w:ascii="仿宋_GB2312" w:hAnsi="仿宋_GB2312" w:cs="仿宋_GB2312"/>
        </w:rPr>
        <w:t>从总体上看，2017年省社会主义学院“学员培训经费”实际到位资金总额615.76万元，实际执行资金总额648.53万元，资金执行率为105.32%，超支资金为不可预见费用调剂资金。</w:t>
      </w:r>
    </w:p>
    <w:p>
      <w:pPr>
        <w:ind w:firstLine="0" w:firstLineChars="0"/>
        <w:jc w:val="center"/>
        <w:rPr>
          <w:rFonts w:ascii="仿宋_GB2312"/>
          <w:sz w:val="28"/>
          <w:szCs w:val="28"/>
        </w:rPr>
      </w:pPr>
      <w:r>
        <w:rPr>
          <w:rFonts w:hint="eastAsia" w:ascii="仿宋_GB2312" w:hAnsi="仿宋_GB2312" w:cs="仿宋_GB2312"/>
        </w:rPr>
        <w:t>从资金明细上来看，维修维保费支出18.5万元、物业费支出0.85万元、培训费支出232.47万元、劳务费支出228.7万元、新增资产支出69.7、水电费支出25.34、“三万”及精准扶贫支出31万元、办公费支出35.17万元、邮电费支出6.8万元。</w:t>
      </w:r>
    </w:p>
    <w:p>
      <w:pPr>
        <w:ind w:firstLine="600"/>
        <w:rPr>
          <w:rFonts w:ascii="仿宋_GB2312"/>
          <w:sz w:val="28"/>
          <w:szCs w:val="28"/>
        </w:rPr>
      </w:pPr>
      <w:r>
        <w:rPr>
          <w:rFonts w:hint="eastAsia" w:ascii="仿宋_GB2312" w:hAnsi="仿宋_GB2312" w:cs="仿宋_GB2312"/>
        </w:rPr>
        <w:t>由表4可知，“学员培训经费”项目预决算差异为5.32%，但各个明细项目支出差异率较大。其中，维修保护费支出差异率为33.93%、物业费支出差异率89.1%、培训费支出差异率23.42%、新增资产支出差异率51.16%、水电费支出差异率60.41%、办公费支出差异率97.58%、邮电费支出差异率50.36%，表明学院预算编制的科学性、合理性需要进一步提高。预算执行的刚性需要进一步加强。</w:t>
      </w:r>
    </w:p>
    <w:p>
      <w:pPr>
        <w:ind w:firstLine="0" w:firstLineChars="0"/>
        <w:jc w:val="center"/>
        <w:rPr>
          <w:rFonts w:ascii="仿宋_GB2312"/>
          <w:szCs w:val="32"/>
        </w:rPr>
      </w:pPr>
      <w:bookmarkStart w:id="78" w:name="_Toc17116_WPSOffice_Level2"/>
      <w:r>
        <w:rPr>
          <w:rFonts w:hint="eastAsia" w:ascii="仿宋_GB2312"/>
          <w:sz w:val="28"/>
          <w:szCs w:val="28"/>
        </w:rPr>
        <w:t>表4  项目资金执行情况表</w:t>
      </w:r>
      <w:bookmarkEnd w:id="74"/>
      <w:bookmarkEnd w:id="75"/>
      <w:bookmarkEnd w:id="76"/>
      <w:bookmarkEnd w:id="77"/>
      <w:bookmarkEnd w:id="78"/>
    </w:p>
    <w:p>
      <w:pPr>
        <w:widowControl/>
        <w:ind w:firstLine="0" w:firstLineChars="0"/>
        <w:jc w:val="center"/>
        <w:rPr>
          <w:rFonts w:ascii="仿宋_GB2312" w:hAnsi="仿宋_GB2312" w:cs="仿宋_GB2312"/>
        </w:rPr>
      </w:pPr>
      <w:r>
        <w:drawing>
          <wp:inline distT="0" distB="0" distL="114300" distR="114300">
            <wp:extent cx="5274310" cy="2546350"/>
            <wp:effectExtent l="0" t="0" r="2540" b="63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6"/>
                    <a:stretch>
                      <a:fillRect/>
                    </a:stretch>
                  </pic:blipFill>
                  <pic:spPr>
                    <a:xfrm>
                      <a:off x="0" y="0"/>
                      <a:ext cx="5274310" cy="2546350"/>
                    </a:xfrm>
                    <a:prstGeom prst="rect">
                      <a:avLst/>
                    </a:prstGeom>
                    <a:noFill/>
                    <a:ln w="9525">
                      <a:noFill/>
                    </a:ln>
                  </pic:spPr>
                </pic:pic>
              </a:graphicData>
            </a:graphic>
          </wp:inline>
        </w:drawing>
      </w:r>
    </w:p>
    <w:p>
      <w:pPr>
        <w:ind w:firstLine="602"/>
      </w:pPr>
      <w:r>
        <w:rPr>
          <w:rFonts w:hint="eastAsia"/>
          <w:b/>
          <w:bCs/>
        </w:rPr>
        <w:t>3.项目资金管理情况分析。</w:t>
      </w:r>
    </w:p>
    <w:p>
      <w:pPr>
        <w:ind w:firstLine="600"/>
      </w:pPr>
      <w:r>
        <w:rPr>
          <w:rFonts w:hint="eastAsia"/>
        </w:rPr>
        <w:t>为有效发挥项目资金的效益，同时保障项目资金支出合法、合规、有序，省社会主义学院制定了较为全面的财务管理制度，建立和实施了较为全面的内控制度体系。学院不断推进预算绩效管理，加强预算绩效监控，在增强项目资金支出的约束性和监督性的同时，也有效发挥了预算绩效管理的衔接性和主动性。“学员培训经费”在项目支出过程坚持贯彻“专项核算、专人管理、专款专用”的原则，未发生挤占、挪用资金行为，但项目资金内部调整较多，预算编制的科学性和准确性不够，预算的刚性约束作用未得到有效发挥。</w:t>
      </w:r>
    </w:p>
    <w:p>
      <w:pPr>
        <w:pStyle w:val="3"/>
        <w:ind w:firstLine="602"/>
        <w:rPr>
          <w:rFonts w:ascii="楷体_GB2312" w:hAnsi="楷体_GB2312" w:eastAsia="楷体_GB2312" w:cs="楷体_GB2312"/>
          <w:bCs/>
          <w:szCs w:val="32"/>
        </w:rPr>
      </w:pPr>
      <w:bookmarkStart w:id="79" w:name="_Toc14008_WPSOffice_Level2"/>
      <w:bookmarkStart w:id="80" w:name="_Toc22943_WPSOffice_Level2"/>
      <w:bookmarkStart w:id="81" w:name="_Toc16360_WPSOffice_Level2"/>
      <w:r>
        <w:rPr>
          <w:rFonts w:hint="eastAsia"/>
        </w:rPr>
        <w:t>（二）项目绩效指标完成情况分析</w:t>
      </w:r>
      <w:bookmarkEnd w:id="79"/>
      <w:bookmarkEnd w:id="80"/>
      <w:bookmarkEnd w:id="81"/>
    </w:p>
    <w:p>
      <w:pPr>
        <w:ind w:firstLine="602"/>
        <w:rPr>
          <w:b/>
          <w:bCs/>
        </w:rPr>
      </w:pPr>
      <w:r>
        <w:rPr>
          <w:rFonts w:hint="eastAsia"/>
          <w:b/>
          <w:bCs/>
        </w:rPr>
        <w:t>1.产出指标完成情况分析</w:t>
      </w:r>
    </w:p>
    <w:p>
      <w:pPr>
        <w:ind w:firstLine="602"/>
        <w:rPr>
          <w:b/>
          <w:bCs/>
        </w:rPr>
      </w:pPr>
      <w:r>
        <w:rPr>
          <w:rFonts w:hint="eastAsia"/>
          <w:b/>
          <w:bCs/>
        </w:rPr>
        <w:t>（1）党外代表人士培训班（主体）</w:t>
      </w:r>
    </w:p>
    <w:p>
      <w:pPr>
        <w:ind w:firstLine="600"/>
      </w:pPr>
      <w:r>
        <w:rPr>
          <w:rFonts w:hint="eastAsia"/>
        </w:rPr>
        <w:t>2017年申报绩效目标为5个班次，实际完成主体班培训6个班次，完成率为120%。</w:t>
      </w:r>
    </w:p>
    <w:p>
      <w:pPr>
        <w:ind w:firstLine="602"/>
      </w:pPr>
      <w:r>
        <w:rPr>
          <w:rFonts w:hint="eastAsia"/>
          <w:b/>
          <w:bCs/>
        </w:rPr>
        <w:t>（2）党外代表人士培训班（非主体）</w:t>
      </w:r>
    </w:p>
    <w:p>
      <w:pPr>
        <w:ind w:firstLine="600"/>
      </w:pPr>
      <w:r>
        <w:rPr>
          <w:rFonts w:hint="eastAsia"/>
        </w:rPr>
        <w:t>2017年申报绩效目标为7个班次，实际完成非主体班培训9个班次，完成率为129%。</w:t>
      </w:r>
    </w:p>
    <w:p>
      <w:pPr>
        <w:ind w:firstLine="602"/>
        <w:rPr>
          <w:b/>
          <w:bCs/>
        </w:rPr>
      </w:pPr>
      <w:r>
        <w:rPr>
          <w:rFonts w:hint="eastAsia"/>
          <w:b/>
          <w:bCs/>
        </w:rPr>
        <w:t>（3）民族宗教人士培训班</w:t>
      </w:r>
    </w:p>
    <w:p>
      <w:pPr>
        <w:ind w:firstLine="600"/>
        <w:rPr>
          <w:b/>
          <w:bCs/>
        </w:rPr>
      </w:pPr>
      <w:r>
        <w:rPr>
          <w:rFonts w:hint="eastAsia"/>
        </w:rPr>
        <w:t>2017年申报绩效目标为2个班次，实际完成民族宗教人士培训2个班次，完成率为100%。</w:t>
      </w:r>
    </w:p>
    <w:p>
      <w:pPr>
        <w:ind w:firstLine="602"/>
      </w:pPr>
      <w:r>
        <w:rPr>
          <w:rFonts w:hint="eastAsia"/>
          <w:b/>
          <w:bCs/>
        </w:rPr>
        <w:t>（4）统战干部培训班</w:t>
      </w:r>
    </w:p>
    <w:p>
      <w:pPr>
        <w:ind w:firstLine="600"/>
      </w:pPr>
      <w:r>
        <w:rPr>
          <w:rFonts w:hint="eastAsia"/>
        </w:rPr>
        <w:t>2017年申报绩效目标为10个班次，实际完成统战干部培训11个班次，完成率为110%。</w:t>
      </w:r>
    </w:p>
    <w:p>
      <w:pPr>
        <w:ind w:firstLine="602"/>
        <w:rPr>
          <w:b/>
          <w:bCs/>
        </w:rPr>
      </w:pPr>
      <w:r>
        <w:rPr>
          <w:rFonts w:hint="eastAsia"/>
          <w:b/>
          <w:bCs/>
        </w:rPr>
        <w:t>（5）非公人士培训班</w:t>
      </w:r>
    </w:p>
    <w:p>
      <w:pPr>
        <w:ind w:firstLine="600"/>
      </w:pPr>
      <w:r>
        <w:rPr>
          <w:rFonts w:hint="eastAsia"/>
        </w:rPr>
        <w:t>2017年申报绩效目标为3个班次，实际完成非公人士培训2个班次，完成率为67%。</w:t>
      </w:r>
    </w:p>
    <w:p>
      <w:pPr>
        <w:ind w:firstLine="602"/>
        <w:rPr>
          <w:b/>
          <w:bCs/>
        </w:rPr>
      </w:pPr>
      <w:r>
        <w:rPr>
          <w:rFonts w:hint="eastAsia"/>
          <w:b/>
          <w:bCs/>
        </w:rPr>
        <w:t>（6）其他统战对象培训班</w:t>
      </w:r>
    </w:p>
    <w:p>
      <w:pPr>
        <w:ind w:firstLine="600"/>
      </w:pPr>
      <w:r>
        <w:rPr>
          <w:rFonts w:hint="eastAsia"/>
        </w:rPr>
        <w:t>2017年申报绩效目标为3个班次，实际完成其他统战对象培训班3个班次，完成率100%。</w:t>
      </w:r>
    </w:p>
    <w:p>
      <w:pPr>
        <w:ind w:firstLine="602"/>
        <w:rPr>
          <w:b/>
          <w:bCs/>
        </w:rPr>
      </w:pPr>
      <w:r>
        <w:rPr>
          <w:rFonts w:hint="eastAsia"/>
          <w:b/>
          <w:bCs/>
        </w:rPr>
        <w:t>（7）统战理论师资班</w:t>
      </w:r>
    </w:p>
    <w:p>
      <w:pPr>
        <w:ind w:firstLine="600"/>
      </w:pPr>
      <w:r>
        <w:rPr>
          <w:rFonts w:hint="eastAsia"/>
        </w:rPr>
        <w:t>2017年申报绩效目标为1个班次，实际完成统战理论师资班1个班次，完成率100%。</w:t>
      </w:r>
    </w:p>
    <w:p>
      <w:pPr>
        <w:ind w:firstLine="602"/>
        <w:rPr>
          <w:b/>
          <w:bCs/>
        </w:rPr>
      </w:pPr>
      <w:r>
        <w:rPr>
          <w:rFonts w:hint="eastAsia"/>
          <w:b/>
          <w:bCs/>
        </w:rPr>
        <w:t>（8）社会新阶层培训班</w:t>
      </w:r>
    </w:p>
    <w:p>
      <w:pPr>
        <w:ind w:firstLine="600"/>
      </w:pPr>
      <w:r>
        <w:rPr>
          <w:rFonts w:hint="eastAsia"/>
        </w:rPr>
        <w:t>2017年申报绩效目标为3个班次，实际完成社会新阶层培训班2个班次，完成率67%。</w:t>
      </w:r>
    </w:p>
    <w:p>
      <w:pPr>
        <w:ind w:firstLine="602"/>
        <w:rPr>
          <w:b/>
          <w:bCs/>
        </w:rPr>
      </w:pPr>
      <w:r>
        <w:rPr>
          <w:rFonts w:hint="eastAsia"/>
          <w:b/>
          <w:bCs/>
        </w:rPr>
        <w:t>（9）乡镇干部培训班</w:t>
      </w:r>
    </w:p>
    <w:p>
      <w:pPr>
        <w:ind w:firstLine="600"/>
      </w:pPr>
      <w:r>
        <w:rPr>
          <w:rFonts w:hint="eastAsia"/>
        </w:rPr>
        <w:t>2017年申报绩效目标为1个班次，实际完成乡镇干部培训班1个班次，完成率100%。</w:t>
      </w:r>
    </w:p>
    <w:p>
      <w:pPr>
        <w:ind w:firstLine="602"/>
        <w:rPr>
          <w:b/>
          <w:bCs/>
        </w:rPr>
      </w:pPr>
      <w:r>
        <w:rPr>
          <w:rFonts w:hint="eastAsia"/>
          <w:b/>
          <w:bCs/>
        </w:rPr>
        <w:t>（10）培训学员人数</w:t>
      </w:r>
    </w:p>
    <w:p>
      <w:pPr>
        <w:ind w:firstLine="600"/>
        <w:rPr>
          <w:b/>
          <w:bCs/>
        </w:rPr>
      </w:pPr>
      <w:r>
        <w:rPr>
          <w:rFonts w:hint="eastAsia"/>
        </w:rPr>
        <w:t>2017年申报绩效目标为2000人，实际完成培训学员2658人，完成率133%。</w:t>
      </w:r>
    </w:p>
    <w:p>
      <w:pPr>
        <w:ind w:firstLine="602"/>
        <w:rPr>
          <w:b/>
          <w:bCs/>
        </w:rPr>
      </w:pPr>
      <w:r>
        <w:rPr>
          <w:rFonts w:hint="eastAsia"/>
          <w:b/>
          <w:bCs/>
        </w:rPr>
        <w:t>（11）教学计划完成率</w:t>
      </w:r>
    </w:p>
    <w:p>
      <w:pPr>
        <w:ind w:firstLine="600"/>
      </w:pPr>
      <w:r>
        <w:rPr>
          <w:rFonts w:hint="eastAsia"/>
        </w:rPr>
        <w:t>2017年申报完成35期培训班，实际完成37期，完成率105%。</w:t>
      </w:r>
    </w:p>
    <w:p>
      <w:pPr>
        <w:ind w:firstLine="602"/>
        <w:rPr>
          <w:b/>
          <w:bCs/>
        </w:rPr>
      </w:pPr>
      <w:r>
        <w:rPr>
          <w:rFonts w:hint="eastAsia"/>
          <w:b/>
          <w:bCs/>
        </w:rPr>
        <w:t>（12）无线网络覆盖率</w:t>
      </w:r>
    </w:p>
    <w:p>
      <w:pPr>
        <w:ind w:firstLine="600"/>
      </w:pPr>
      <w:r>
        <w:rPr>
          <w:rFonts w:hint="eastAsia"/>
        </w:rPr>
        <w:t>2017年申报覆盖率100%，实际覆盖率100%。</w:t>
      </w:r>
    </w:p>
    <w:p>
      <w:pPr>
        <w:ind w:firstLine="602"/>
        <w:rPr>
          <w:b/>
          <w:bCs/>
        </w:rPr>
      </w:pPr>
      <w:r>
        <w:rPr>
          <w:rFonts w:hint="eastAsia"/>
          <w:b/>
          <w:bCs/>
        </w:rPr>
        <w:t>（13）专题教学及时率</w:t>
      </w:r>
    </w:p>
    <w:p>
      <w:pPr>
        <w:ind w:firstLine="600"/>
      </w:pPr>
      <w:r>
        <w:rPr>
          <w:rFonts w:hint="eastAsia"/>
        </w:rPr>
        <w:t>2017年申报专题教学及时率90%，实际均及时完成。此指标此指标与教学计划完成率指标重复设置，不具备考核价值，建议删除。</w:t>
      </w:r>
    </w:p>
    <w:p>
      <w:pPr>
        <w:tabs>
          <w:tab w:val="left" w:pos="667"/>
        </w:tabs>
        <w:ind w:left="600" w:leftChars="200" w:firstLine="0" w:firstLineChars="0"/>
        <w:rPr>
          <w:b/>
          <w:bCs/>
        </w:rPr>
      </w:pPr>
      <w:r>
        <w:rPr>
          <w:rFonts w:hint="eastAsia"/>
          <w:b/>
          <w:bCs/>
        </w:rPr>
        <w:t>2.质量指标</w:t>
      </w:r>
    </w:p>
    <w:p>
      <w:pPr>
        <w:ind w:left="600" w:leftChars="200" w:firstLine="0" w:firstLineChars="0"/>
        <w:rPr>
          <w:b/>
          <w:bCs/>
        </w:rPr>
      </w:pPr>
      <w:r>
        <w:rPr>
          <w:rFonts w:hint="eastAsia"/>
          <w:b/>
          <w:bCs/>
        </w:rPr>
        <w:t>（1）打造名师精品课程</w:t>
      </w:r>
    </w:p>
    <w:p>
      <w:pPr>
        <w:ind w:firstLine="600"/>
        <w:rPr>
          <w:b/>
          <w:bCs/>
        </w:rPr>
      </w:pPr>
      <w:r>
        <w:rPr>
          <w:rFonts w:hint="eastAsia"/>
        </w:rPr>
        <w:t>2017年申报打造名师精品课程4个，实际完成4个，实际完成率100%。</w:t>
      </w:r>
    </w:p>
    <w:p>
      <w:pPr>
        <w:ind w:firstLine="602"/>
        <w:rPr>
          <w:b/>
          <w:bCs/>
        </w:rPr>
      </w:pPr>
      <w:r>
        <w:rPr>
          <w:rFonts w:hint="eastAsia"/>
          <w:b/>
          <w:bCs/>
        </w:rPr>
        <w:t>（2）设备正常运转情况</w:t>
      </w:r>
    </w:p>
    <w:p>
      <w:pPr>
        <w:ind w:firstLine="600"/>
      </w:pPr>
      <w:r>
        <w:rPr>
          <w:rFonts w:hint="eastAsia"/>
        </w:rPr>
        <w:t>2017年申报绩效目标为设备运转均正常，通过查看维修检查记录、安全检查报告、《湖北省社会主义学院国有资产管理制度》《湖北省社会主义学院资产日常管理实施细则》等资料，实际设备运转均正常。</w:t>
      </w:r>
    </w:p>
    <w:p>
      <w:pPr>
        <w:ind w:firstLine="602"/>
        <w:rPr>
          <w:b/>
          <w:bCs/>
        </w:rPr>
      </w:pPr>
      <w:r>
        <w:rPr>
          <w:rFonts w:hint="eastAsia"/>
          <w:b/>
          <w:bCs/>
        </w:rPr>
        <w:t>3.时效指标</w:t>
      </w:r>
    </w:p>
    <w:p>
      <w:pPr>
        <w:ind w:firstLine="602"/>
        <w:rPr>
          <w:b/>
          <w:bCs/>
        </w:rPr>
      </w:pPr>
      <w:r>
        <w:rPr>
          <w:rFonts w:hint="eastAsia"/>
          <w:b/>
          <w:bCs/>
        </w:rPr>
        <w:t>（1）教学档案归档及时率</w:t>
      </w:r>
    </w:p>
    <w:p>
      <w:pPr>
        <w:ind w:firstLine="600"/>
        <w:rPr>
          <w:b/>
          <w:bCs/>
        </w:rPr>
      </w:pPr>
      <w:r>
        <w:rPr>
          <w:rFonts w:hint="eastAsia"/>
        </w:rPr>
        <w:t>2017年申报绩效目标归档及时率100%，实际归档及时率100%。</w:t>
      </w:r>
    </w:p>
    <w:p>
      <w:pPr>
        <w:ind w:firstLine="602"/>
        <w:rPr>
          <w:b/>
          <w:bCs/>
        </w:rPr>
      </w:pPr>
      <w:r>
        <w:rPr>
          <w:rFonts w:hint="eastAsia"/>
          <w:b/>
          <w:bCs/>
        </w:rPr>
        <w:t>（2）学员考评及时率</w:t>
      </w:r>
    </w:p>
    <w:p>
      <w:pPr>
        <w:ind w:firstLine="600"/>
      </w:pPr>
      <w:r>
        <w:rPr>
          <w:rFonts w:hint="eastAsia"/>
        </w:rPr>
        <w:t>2017年申报学员考评及时率为100%，实际对每期结束均及时开展考评工作，及时率100%。</w:t>
      </w:r>
    </w:p>
    <w:p>
      <w:pPr>
        <w:ind w:firstLine="602"/>
        <w:rPr>
          <w:b/>
          <w:bCs/>
        </w:rPr>
      </w:pPr>
      <w:r>
        <w:rPr>
          <w:rFonts w:hint="eastAsia"/>
          <w:b/>
          <w:bCs/>
        </w:rPr>
        <w:t>（3）教学评估及时率</w:t>
      </w:r>
    </w:p>
    <w:p>
      <w:pPr>
        <w:ind w:firstLine="600"/>
      </w:pPr>
      <w:r>
        <w:rPr>
          <w:rFonts w:hint="eastAsia"/>
        </w:rPr>
        <w:t>2017年申报教学考评及时率为100%，实际每期结束后均及时开展教学考评工作，及时率100%。</w:t>
      </w:r>
    </w:p>
    <w:p>
      <w:pPr>
        <w:numPr>
          <w:ilvl w:val="0"/>
          <w:numId w:val="3"/>
        </w:numPr>
        <w:ind w:firstLine="602"/>
        <w:rPr>
          <w:b/>
          <w:bCs/>
        </w:rPr>
      </w:pPr>
      <w:r>
        <w:rPr>
          <w:rFonts w:hint="eastAsia"/>
          <w:b/>
          <w:bCs/>
        </w:rPr>
        <w:t>成本指标</w:t>
      </w:r>
    </w:p>
    <w:p>
      <w:pPr>
        <w:ind w:firstLine="0" w:firstLineChars="0"/>
        <w:rPr>
          <w:b/>
          <w:bCs/>
        </w:rPr>
      </w:pPr>
      <w:r>
        <w:rPr>
          <w:rFonts w:hint="eastAsia"/>
          <w:b/>
          <w:bCs/>
        </w:rPr>
        <w:t xml:space="preserve">    （1）设备采购有无超标</w:t>
      </w:r>
    </w:p>
    <w:p>
      <w:pPr>
        <w:ind w:firstLine="600"/>
        <w:rPr>
          <w:b/>
          <w:bCs/>
        </w:rPr>
      </w:pPr>
      <w:r>
        <w:rPr>
          <w:rFonts w:hint="eastAsia"/>
        </w:rPr>
        <w:t>2017年申报绩效目标为设备采购无超标，设备计划采购79.3万元，实际完成</w:t>
      </w:r>
      <w:r>
        <w:rPr>
          <w:rFonts w:hint="eastAsia"/>
          <w:lang w:val="en-US" w:eastAsia="zh-CN"/>
        </w:rPr>
        <w:t>69.67</w:t>
      </w:r>
      <w:r>
        <w:rPr>
          <w:rFonts w:hint="eastAsia"/>
        </w:rPr>
        <w:t>万元，未超标。</w:t>
      </w:r>
    </w:p>
    <w:p>
      <w:pPr>
        <w:ind w:firstLine="602"/>
        <w:rPr>
          <w:b/>
          <w:bCs/>
        </w:rPr>
      </w:pPr>
      <w:r>
        <w:rPr>
          <w:rFonts w:hint="eastAsia"/>
          <w:b/>
          <w:bCs/>
        </w:rPr>
        <w:t>（2）维修维保有无超标</w:t>
      </w:r>
    </w:p>
    <w:p>
      <w:pPr>
        <w:ind w:firstLine="600"/>
        <w:rPr>
          <w:b/>
          <w:bCs/>
        </w:rPr>
      </w:pPr>
      <w:r>
        <w:rPr>
          <w:rFonts w:hint="eastAsia"/>
        </w:rPr>
        <w:t>2017年申报绩效目标为维修维保无超标，实际未超标。</w:t>
      </w:r>
    </w:p>
    <w:p>
      <w:pPr>
        <w:ind w:firstLine="602"/>
        <w:rPr>
          <w:b/>
          <w:bCs/>
        </w:rPr>
      </w:pPr>
      <w:r>
        <w:rPr>
          <w:rFonts w:hint="eastAsia"/>
          <w:b/>
          <w:bCs/>
        </w:rPr>
        <w:t>（3）餐饮保障超标率</w:t>
      </w:r>
    </w:p>
    <w:p>
      <w:pPr>
        <w:ind w:firstLine="600"/>
        <w:rPr>
          <w:b/>
          <w:bCs/>
        </w:rPr>
      </w:pPr>
      <w:r>
        <w:rPr>
          <w:rFonts w:hint="eastAsia"/>
        </w:rPr>
        <w:t>2017年申报绩效目标为餐饮保障无超标，计划资金100万云，实际完成99万元，未超标。</w:t>
      </w:r>
    </w:p>
    <w:p>
      <w:pPr>
        <w:ind w:firstLine="602"/>
        <w:rPr>
          <w:b/>
          <w:bCs/>
        </w:rPr>
      </w:pPr>
      <w:r>
        <w:rPr>
          <w:rFonts w:hint="eastAsia"/>
          <w:b/>
          <w:bCs/>
        </w:rPr>
        <w:t>5.经济效益指标</w:t>
      </w:r>
    </w:p>
    <w:p>
      <w:pPr>
        <w:ind w:firstLine="602"/>
        <w:rPr>
          <w:b/>
          <w:bCs/>
        </w:rPr>
      </w:pPr>
      <w:r>
        <w:rPr>
          <w:rFonts w:hint="eastAsia"/>
          <w:b/>
          <w:bCs/>
        </w:rPr>
        <w:t>（1）门面出租收益</w:t>
      </w:r>
    </w:p>
    <w:p>
      <w:pPr>
        <w:ind w:firstLine="600"/>
      </w:pPr>
      <w:r>
        <w:rPr>
          <w:rFonts w:hint="eastAsia"/>
        </w:rPr>
        <w:t>2017年申报收益70万元，实际完成</w:t>
      </w:r>
      <w:r>
        <w:rPr>
          <w:rFonts w:hint="eastAsia"/>
          <w:lang w:val="en-US" w:eastAsia="zh-CN"/>
        </w:rPr>
        <w:t>71</w:t>
      </w:r>
      <w:r>
        <w:rPr>
          <w:rFonts w:hint="eastAsia"/>
        </w:rPr>
        <w:t>万元，完成率</w:t>
      </w:r>
      <w:r>
        <w:rPr>
          <w:rFonts w:hint="eastAsia"/>
          <w:lang w:val="en-US" w:eastAsia="zh-CN"/>
        </w:rPr>
        <w:t>101.4</w:t>
      </w:r>
      <w:r>
        <w:rPr>
          <w:rFonts w:hint="eastAsia"/>
        </w:rPr>
        <w:t>%。</w:t>
      </w:r>
    </w:p>
    <w:p>
      <w:pPr>
        <w:ind w:firstLine="602"/>
        <w:rPr>
          <w:b/>
          <w:bCs/>
        </w:rPr>
      </w:pPr>
      <w:r>
        <w:rPr>
          <w:rFonts w:hint="eastAsia"/>
          <w:b/>
          <w:bCs/>
        </w:rPr>
        <w:t>（2）解决社会就业数</w:t>
      </w:r>
    </w:p>
    <w:p>
      <w:pPr>
        <w:ind w:firstLine="600"/>
      </w:pPr>
      <w:r>
        <w:rPr>
          <w:rFonts w:hint="eastAsia"/>
        </w:rPr>
        <w:t>2017年申报解决就业人数54人，实际解决53人，完成率98%。</w:t>
      </w:r>
    </w:p>
    <w:p>
      <w:pPr>
        <w:ind w:firstLine="602"/>
        <w:rPr>
          <w:b/>
          <w:bCs/>
        </w:rPr>
      </w:pPr>
      <w:r>
        <w:rPr>
          <w:rFonts w:hint="eastAsia"/>
          <w:b/>
          <w:bCs/>
        </w:rPr>
        <w:t>6.可持续影响指标</w:t>
      </w:r>
    </w:p>
    <w:p>
      <w:pPr>
        <w:ind w:firstLine="602"/>
        <w:rPr>
          <w:b/>
          <w:bCs/>
        </w:rPr>
      </w:pPr>
      <w:r>
        <w:rPr>
          <w:rFonts w:hint="eastAsia"/>
          <w:b/>
          <w:bCs/>
        </w:rPr>
        <w:t>（1）保安应急处理能力</w:t>
      </w:r>
    </w:p>
    <w:p>
      <w:pPr>
        <w:ind w:firstLine="600"/>
      </w:pPr>
      <w:r>
        <w:rPr>
          <w:rFonts w:hint="eastAsia"/>
        </w:rPr>
        <w:t>2017年申报保安应急处理能力为合格，实际应急能力合格，完成率100%。</w:t>
      </w:r>
    </w:p>
    <w:p>
      <w:pPr>
        <w:ind w:firstLine="602"/>
        <w:rPr>
          <w:b/>
          <w:bCs/>
        </w:rPr>
      </w:pPr>
      <w:r>
        <w:rPr>
          <w:rFonts w:hint="eastAsia"/>
          <w:b/>
          <w:bCs/>
        </w:rPr>
        <w:t>7.服务对象满意度</w:t>
      </w:r>
    </w:p>
    <w:p>
      <w:pPr>
        <w:ind w:firstLine="602"/>
        <w:rPr>
          <w:b/>
          <w:bCs/>
        </w:rPr>
      </w:pPr>
      <w:r>
        <w:rPr>
          <w:rFonts w:hint="eastAsia"/>
          <w:b/>
          <w:bCs/>
        </w:rPr>
        <w:t>（1）学员对专职教师满意度</w:t>
      </w:r>
    </w:p>
    <w:p>
      <w:pPr>
        <w:ind w:firstLine="600"/>
        <w:rPr>
          <w:b/>
          <w:bCs/>
        </w:rPr>
      </w:pPr>
      <w:r>
        <w:rPr>
          <w:rFonts w:hint="eastAsia"/>
        </w:rPr>
        <w:t>2017年申报学员对专职教师满意度为80%，实际满意度为93.1%。</w:t>
      </w:r>
    </w:p>
    <w:p>
      <w:pPr>
        <w:ind w:firstLine="602"/>
        <w:rPr>
          <w:b/>
          <w:bCs/>
        </w:rPr>
      </w:pPr>
      <w:r>
        <w:rPr>
          <w:rFonts w:hint="eastAsia"/>
          <w:b/>
          <w:bCs/>
        </w:rPr>
        <w:t>（2）学员对课程设置满意度</w:t>
      </w:r>
    </w:p>
    <w:p>
      <w:pPr>
        <w:ind w:firstLine="600"/>
      </w:pPr>
      <w:r>
        <w:rPr>
          <w:rFonts w:hint="eastAsia"/>
        </w:rPr>
        <w:t>2017年申报学员对课程设置满意度为85%，实际满意度为96.5%。</w:t>
      </w:r>
    </w:p>
    <w:p>
      <w:pPr>
        <w:ind w:firstLine="602"/>
        <w:rPr>
          <w:b/>
          <w:bCs/>
        </w:rPr>
      </w:pPr>
      <w:r>
        <w:rPr>
          <w:rFonts w:hint="eastAsia"/>
          <w:b/>
          <w:bCs/>
        </w:rPr>
        <w:t>（3）学员对兼职教师满意度</w:t>
      </w:r>
    </w:p>
    <w:p>
      <w:pPr>
        <w:ind w:firstLine="600"/>
      </w:pPr>
      <w:r>
        <w:rPr>
          <w:rFonts w:hint="eastAsia"/>
        </w:rPr>
        <w:t>2017年申报学员对兼职教师满意度为90%，实际因学院兼职教师人数较少，同时该指标与学员对专职教师满意度重复考核，该指标无考核意义，建议修改为学员对教师满意度指标。</w:t>
      </w:r>
    </w:p>
    <w:p>
      <w:pPr>
        <w:ind w:firstLine="602"/>
        <w:rPr>
          <w:b/>
          <w:bCs/>
        </w:rPr>
      </w:pPr>
      <w:r>
        <w:rPr>
          <w:rFonts w:hint="eastAsia"/>
          <w:b/>
          <w:bCs/>
        </w:rPr>
        <w:t>（4）后勤服务满意率</w:t>
      </w:r>
    </w:p>
    <w:p>
      <w:pPr>
        <w:ind w:firstLine="600"/>
      </w:pPr>
      <w:r>
        <w:rPr>
          <w:rFonts w:hint="eastAsia"/>
        </w:rPr>
        <w:t>2017年申报绩效目标为95%，通过对中青班和处干班问卷调查，后勤服务满意率为97%。</w:t>
      </w:r>
    </w:p>
    <w:p>
      <w:pPr>
        <w:ind w:firstLine="602"/>
        <w:rPr>
          <w:b/>
          <w:bCs/>
        </w:rPr>
      </w:pPr>
      <w:r>
        <w:rPr>
          <w:rFonts w:hint="eastAsia"/>
          <w:b/>
          <w:bCs/>
        </w:rPr>
        <w:t>（5）对社院服务的满意度</w:t>
      </w:r>
    </w:p>
    <w:p>
      <w:pPr>
        <w:ind w:firstLine="600"/>
      </w:pPr>
      <w:r>
        <w:rPr>
          <w:rFonts w:hint="eastAsia"/>
        </w:rPr>
        <w:t>2017年申报对社院服务满意度为95%，实际考核内容与后勤服务满意度重合，无考核意义，建议取消。</w:t>
      </w:r>
    </w:p>
    <w:p>
      <w:pPr>
        <w:pStyle w:val="2"/>
        <w:ind w:firstLine="602"/>
      </w:pPr>
      <w:bookmarkStart w:id="82" w:name="_Toc10299_WPSOffice_Level1"/>
      <w:bookmarkStart w:id="83" w:name="_Toc15464_WPSOffice_Level1"/>
      <w:bookmarkStart w:id="84" w:name="_Toc21570_WPSOffice_Level1"/>
      <w:bookmarkStart w:id="85" w:name="_Toc15521_WPSOffice_Level1"/>
      <w:bookmarkStart w:id="86" w:name="_Toc23587_WPSOffice_Level1"/>
      <w:r>
        <w:rPr>
          <w:rFonts w:hint="eastAsia"/>
        </w:rPr>
        <w:t>五、绩效目标未完成原因和下一步改进措施</w:t>
      </w:r>
      <w:bookmarkEnd w:id="82"/>
      <w:bookmarkEnd w:id="83"/>
      <w:bookmarkEnd w:id="84"/>
      <w:bookmarkEnd w:id="85"/>
      <w:bookmarkEnd w:id="86"/>
    </w:p>
    <w:p>
      <w:pPr>
        <w:ind w:firstLine="600"/>
      </w:pPr>
      <w:r>
        <w:rPr>
          <w:rFonts w:hint="eastAsia"/>
        </w:rPr>
        <w:t>“学员培训经费”未完成指标共4个，分别为非公人士培训班、社会新阶层培训班、门面出租收益 和解决社会就业数。</w:t>
      </w:r>
    </w:p>
    <w:p>
      <w:pPr>
        <w:ind w:firstLine="600"/>
      </w:pPr>
      <w:r>
        <w:rPr>
          <w:rFonts w:hint="eastAsia"/>
        </w:rPr>
        <w:t>（一）非公人士培训班未完成原因主要是去年根据实际工作需要只举办了2个班次培训。改进措施是进一步加强预算编报测算的合理性，合理设置绩效目标，增强绩效目标的导向作用。</w:t>
      </w:r>
    </w:p>
    <w:p>
      <w:pPr>
        <w:ind w:firstLine="600"/>
      </w:pPr>
      <w:r>
        <w:rPr>
          <w:rFonts w:hint="eastAsia"/>
        </w:rPr>
        <w:t>（二）社会新阶层培训班未完成原因主要是去年根据实际工作需要只举办了2个班次培训。改进措施是进一步加强预算编报测算的合理性，合理设置绩效目标，增强绩效目标的导向作用。</w:t>
      </w:r>
    </w:p>
    <w:p>
      <w:pPr>
        <w:ind w:firstLine="600"/>
      </w:pPr>
      <w:bookmarkStart w:id="87" w:name="_Toc30293_WPSOffice_Level1"/>
      <w:bookmarkStart w:id="88" w:name="_Toc19052_WPSOffice_Level1"/>
      <w:bookmarkStart w:id="89" w:name="_Toc24372_WPSOffice_Level1"/>
      <w:r>
        <w:rPr>
          <w:rFonts w:hint="eastAsia"/>
        </w:rPr>
        <w:t>（三）门面出租收益未完成原因是去年只完成68万元的收入，收入浮动属于正常范围。改进措施进一步加强市场调研，强化绩效目标的准确性。</w:t>
      </w:r>
    </w:p>
    <w:p>
      <w:pPr>
        <w:ind w:firstLine="600"/>
      </w:pPr>
      <w:r>
        <w:rPr>
          <w:rFonts w:hint="eastAsia"/>
        </w:rPr>
        <w:t>（四）解决社会就业数未完成原因是学院只聘用了53名职工，就业人数变动属于正常范围。改进措施是加强绩效目标编报的科学性、合理性及重要性，对考核意义不大的指标进行精简。</w:t>
      </w:r>
    </w:p>
    <w:p>
      <w:pPr>
        <w:pStyle w:val="2"/>
        <w:ind w:firstLine="602"/>
      </w:pPr>
      <w:bookmarkStart w:id="90" w:name="_Toc3468_WPSOffice_Level1"/>
      <w:bookmarkStart w:id="91" w:name="_Toc26812_WPSOffice_Level1"/>
      <w:r>
        <w:rPr>
          <w:rFonts w:hint="eastAsia"/>
        </w:rPr>
        <w:t>六、绩效自评结果拟应用和公开情况</w:t>
      </w:r>
      <w:bookmarkEnd w:id="87"/>
      <w:bookmarkEnd w:id="88"/>
      <w:bookmarkEnd w:id="89"/>
      <w:bookmarkEnd w:id="90"/>
      <w:bookmarkEnd w:id="91"/>
    </w:p>
    <w:p>
      <w:pPr>
        <w:ind w:firstLine="600"/>
      </w:pPr>
      <w:r>
        <w:rPr>
          <w:rFonts w:hint="eastAsia"/>
        </w:rPr>
        <w:t>（一）我院将根据《湖北省人民代表大会常务委员会关于进一步推进预算绩效管理的决定》《湖北省财政厅关于贯彻落实＜湖北省人民代表大会常务委员会关于进一步推进预算绩效管理的决定＞的通知》（鄂财绩发〔2018〕2号）文件精神，进一步落实全面实施绩效管理，健全预算绩效管理制度，完善预算绩效管理机制，提高管理质量。</w:t>
      </w:r>
    </w:p>
    <w:p>
      <w:pPr>
        <w:ind w:firstLine="600"/>
      </w:pPr>
      <w:r>
        <w:rPr>
          <w:rFonts w:hint="eastAsia"/>
        </w:rPr>
        <w:t>（二）绩效评价结果应用是绩效管理的出发点和落脚点，我院将切实加强项目整改落实，建立评价结果和预算安排有机结合的机制，将本次绩效评价结果作为安排下一年度预算的基本依据。</w:t>
      </w:r>
    </w:p>
    <w:p>
      <w:pPr>
        <w:ind w:firstLine="600"/>
      </w:pPr>
      <w:r>
        <w:rPr>
          <w:rFonts w:hint="eastAsia"/>
        </w:rPr>
        <w:t>（三）本次绩效评价工作结束后，我院将及时把绩效评价信息反馈给项目具体实施处室，督促其完善管理制度，改进管理措施，提高管理水平，并对结果进行通报，确保各部门对绩效管理工作的认识和重视程度得到提高。</w:t>
      </w:r>
    </w:p>
    <w:p>
      <w:pPr>
        <w:ind w:firstLine="600"/>
      </w:pPr>
      <w:r>
        <w:rPr>
          <w:rFonts w:hint="eastAsia"/>
        </w:rPr>
        <w:t>（四）我院将按照省财政厅统一要求公开本次绩效评价结果，接受公众监督，并向省财政厅及相关部门报送整改落实情况。</w:t>
      </w:r>
      <w:bookmarkStart w:id="92" w:name="_Toc13650_WPSOffice_Level1"/>
      <w:bookmarkStart w:id="93" w:name="_Toc7003_WPSOffice_Level1"/>
      <w:bookmarkStart w:id="94" w:name="_Toc14013_WPSOffice_Level1"/>
      <w:bookmarkStart w:id="95" w:name="_Toc1739_WPSOffice_Level1"/>
    </w:p>
    <w:p>
      <w:pPr>
        <w:pStyle w:val="2"/>
        <w:ind w:firstLine="602"/>
        <w:rPr>
          <w:rFonts w:ascii="黑体" w:hAnsi="黑体" w:cs="黑体"/>
          <w:bCs/>
          <w:szCs w:val="32"/>
        </w:rPr>
      </w:pPr>
      <w:bookmarkStart w:id="96" w:name="_Toc17116_WPSOffice_Level1"/>
      <w:r>
        <w:rPr>
          <w:rFonts w:hint="eastAsia"/>
        </w:rPr>
        <w:t>七、绩效自评工作的经验、问题和建议</w:t>
      </w:r>
      <w:bookmarkEnd w:id="92"/>
      <w:bookmarkEnd w:id="93"/>
      <w:bookmarkEnd w:id="94"/>
      <w:bookmarkEnd w:id="95"/>
      <w:bookmarkEnd w:id="96"/>
    </w:p>
    <w:p>
      <w:pPr>
        <w:pStyle w:val="3"/>
        <w:ind w:firstLine="602"/>
        <w:rPr>
          <w:bCs/>
        </w:rPr>
      </w:pPr>
      <w:bookmarkStart w:id="97" w:name="_Toc27712_WPSOffice_Level2"/>
      <w:bookmarkStart w:id="98" w:name="_Toc16915_WPSOffice_Level2"/>
      <w:bookmarkStart w:id="99" w:name="_Toc21885_WPSOffice_Level2"/>
      <w:r>
        <w:rPr>
          <w:rFonts w:hint="eastAsia"/>
        </w:rPr>
        <w:t>（一）绩效评价工作的经验</w:t>
      </w:r>
      <w:bookmarkEnd w:id="97"/>
      <w:bookmarkEnd w:id="98"/>
      <w:bookmarkEnd w:id="99"/>
    </w:p>
    <w:p>
      <w:pPr>
        <w:ind w:firstLine="600"/>
      </w:pPr>
      <w:r>
        <w:rPr>
          <w:rFonts w:hint="eastAsia"/>
        </w:rPr>
        <w:t>1.全面加强绩效目标管理。学院在借鉴学习其他省份兄弟社院此项工作的基础上，预算绩效目标编制工作取得新的突破。一是在预算编制阶段要求教务处、教研室、总务处等三个处室按照项目支出明细编制了处室绩效目标。二是对处室申报的预算支出进行全面梳理、加强审核、合理保障，所有支出必须有明细的资金测算，对无具体内容、无明细支出测算的，或支出测算不够细化的项目，一律不予安排。</w:t>
      </w:r>
    </w:p>
    <w:p>
      <w:pPr>
        <w:ind w:firstLine="600"/>
      </w:pPr>
      <w:r>
        <w:rPr>
          <w:rFonts w:hint="eastAsia"/>
        </w:rPr>
        <w:t>2.着力提高绩效评价的管理水平。2017年我院全面开展财政支出绩效评价工作，通过聘请第三方机构协助开展绩效评价工作，有效的保障了绩效评价工作的独立性和客观性，确保绩效评价结果公正、客观、精准，做到了评价结果客观公正、实事求是，真实反映绩效，如实反映问题，切实提高绩效评价的管理水平。</w:t>
      </w:r>
    </w:p>
    <w:p>
      <w:pPr>
        <w:ind w:firstLine="600"/>
      </w:pPr>
      <w:r>
        <w:rPr>
          <w:rFonts w:hint="eastAsia"/>
        </w:rPr>
        <w:t>3.评价结果得到充分运用。一是将绩效评价报告在院官方网站上进行公开，积极接受社会监督。二是在完成绩效评价工作后，及时将绩效评价结果反馈给项目实施处室，并要求处室对存在的问题要认真分析原因，从源头上去研究落实整改措施。三是在监督整改的同时，将项目支出预算安排与项目绩效考评结果相挂钩，作为下年度预算安排重要依据。</w:t>
      </w:r>
    </w:p>
    <w:p>
      <w:pPr>
        <w:pStyle w:val="3"/>
        <w:ind w:firstLine="602"/>
      </w:pPr>
      <w:bookmarkStart w:id="100" w:name="_Toc19825_WPSOffice_Level2"/>
      <w:bookmarkStart w:id="101" w:name="_Toc25450_WPSOffice_Level2"/>
      <w:bookmarkStart w:id="102" w:name="_Toc29201_WPSOffice_Level2"/>
      <w:r>
        <w:rPr>
          <w:rFonts w:hint="eastAsia"/>
        </w:rPr>
        <w:t>（二）存在的问题</w:t>
      </w:r>
      <w:bookmarkEnd w:id="100"/>
      <w:bookmarkEnd w:id="101"/>
      <w:bookmarkEnd w:id="102"/>
    </w:p>
    <w:p>
      <w:pPr>
        <w:ind w:firstLine="600"/>
      </w:pPr>
      <w:r>
        <w:rPr>
          <w:rFonts w:hint="eastAsia"/>
        </w:rPr>
        <w:t>1.绩效管理制度还需健全，流程尚需优化。虽然制定了相关的管理办法及工作流程，但是目前我院处于探索推进阶段，随着绩效管理工作的逐步深入，相关的绩效管理制度也需要健全。</w:t>
      </w:r>
    </w:p>
    <w:p>
      <w:pPr>
        <w:ind w:firstLine="600"/>
      </w:pPr>
      <w:r>
        <w:rPr>
          <w:rFonts w:hint="eastAsia"/>
        </w:rPr>
        <w:t>2.预算绩效全过程管理的理念须进一步落实，部分业务处室预算绩效管理的意识还有待提高，没有正确认识预算绩效管理机制，对预算编制阶段、执行阶段以及评价阶段在内的多个预算管理阶段理解不够，缺乏量化分析。</w:t>
      </w:r>
    </w:p>
    <w:p>
      <w:pPr>
        <w:ind w:firstLine="600"/>
      </w:pPr>
      <w:r>
        <w:rPr>
          <w:rFonts w:hint="eastAsia"/>
        </w:rPr>
        <w:t>3.绩效评价质量有待提高。统一战线知识是国民教育的重要组成部分，社会主义学院承担其主要教学任务。但全省社会主义学院较少，且在业务指导上未形成有效体系，故受评价体系科学性、评价机制合理性的限制，评价结果的科学性和公正性有待提高。</w:t>
      </w:r>
    </w:p>
    <w:p>
      <w:pPr>
        <w:pStyle w:val="3"/>
        <w:ind w:firstLine="602"/>
      </w:pPr>
      <w:bookmarkStart w:id="103" w:name="_Toc17693_WPSOffice_Level2"/>
      <w:bookmarkStart w:id="104" w:name="_Toc24032_WPSOffice_Level2"/>
      <w:bookmarkStart w:id="105" w:name="_Toc14325_WPSOffice_Level2"/>
      <w:r>
        <w:rPr>
          <w:rFonts w:hint="eastAsia"/>
        </w:rPr>
        <w:t>（三）工作建议</w:t>
      </w:r>
      <w:bookmarkEnd w:id="103"/>
      <w:bookmarkEnd w:id="104"/>
      <w:bookmarkEnd w:id="105"/>
    </w:p>
    <w:p>
      <w:pPr>
        <w:ind w:firstLine="600"/>
      </w:pPr>
      <w:r>
        <w:rPr>
          <w:rFonts w:hint="eastAsia"/>
        </w:rPr>
        <w:t>1.建立健全各方参与、共同协作的工作机制。建立起财务部门组织指导、预算部门具体负责的工作机制，主动接受上级单位监督，增强推进预算绩效管理的合力。理顺财务部门内部、预算部门内部在绩效目标管理、跟踪监控管理、评价实施管理、结果反馈和应用管理等不同环节的职责，形成统分结合、各负其责的内部工作机制。</w:t>
      </w:r>
    </w:p>
    <w:p>
      <w:pPr>
        <w:ind w:firstLine="600"/>
      </w:pPr>
      <w:r>
        <w:rPr>
          <w:rFonts w:hint="eastAsia"/>
        </w:rPr>
        <w:t>2.进一步加大对绩效目标编制工作的重视程度，科学测算、合理编报，充分发挥绩效目标的导向作用。</w:t>
      </w:r>
    </w:p>
    <w:p>
      <w:pPr>
        <w:pStyle w:val="2"/>
        <w:ind w:firstLine="602"/>
        <w:rPr>
          <w:rFonts w:ascii="黑体" w:hAnsi="黑体" w:cs="黑体"/>
          <w:bCs/>
          <w:szCs w:val="32"/>
        </w:rPr>
      </w:pPr>
      <w:bookmarkStart w:id="106" w:name="_Toc28570_WPSOffice_Level1"/>
      <w:bookmarkStart w:id="107" w:name="_Toc32105_WPSOffice_Level1"/>
      <w:bookmarkStart w:id="108" w:name="_Toc31665_WPSOffice_Level1"/>
      <w:bookmarkStart w:id="109" w:name="_Toc16360_WPSOffice_Level1"/>
      <w:bookmarkStart w:id="110" w:name="_Toc18430_WPSOffice_Level1"/>
      <w:r>
        <w:rPr>
          <w:rFonts w:hint="eastAsia"/>
        </w:rPr>
        <w:t>八、其他需说明的问题</w:t>
      </w:r>
      <w:bookmarkEnd w:id="106"/>
      <w:bookmarkEnd w:id="107"/>
      <w:bookmarkEnd w:id="108"/>
      <w:bookmarkEnd w:id="109"/>
      <w:bookmarkEnd w:id="110"/>
    </w:p>
    <w:p>
      <w:pPr>
        <w:ind w:firstLine="600"/>
      </w:pPr>
      <w:r>
        <w:rPr>
          <w:rFonts w:hint="eastAsia"/>
        </w:rPr>
        <w:t>无。</w:t>
      </w:r>
    </w:p>
    <w:p>
      <w:pPr>
        <w:ind w:firstLine="602"/>
        <w:rPr>
          <w:b/>
          <w:bCs/>
        </w:rPr>
      </w:pPr>
      <w:bookmarkStart w:id="111" w:name="_Toc19248_WPSOffice_Level1"/>
      <w:bookmarkStart w:id="112" w:name="_Toc8203_WPSOffice_Level1"/>
      <w:bookmarkStart w:id="113" w:name="_Toc9554_WPSOffice_Level1"/>
    </w:p>
    <w:p>
      <w:pPr>
        <w:ind w:firstLine="0" w:firstLineChars="0"/>
        <w:rPr>
          <w:b/>
          <w:bCs/>
        </w:rPr>
      </w:pPr>
      <w:bookmarkStart w:id="114" w:name="_Toc10263_WPSOffice_Level1"/>
    </w:p>
    <w:p>
      <w:pPr>
        <w:ind w:firstLine="0" w:firstLineChars="0"/>
        <w:rPr>
          <w:b/>
          <w:bCs/>
        </w:rPr>
      </w:pPr>
      <w:bookmarkStart w:id="115" w:name="_Toc27712_WPSOffice_Level1"/>
      <w:r>
        <w:rPr>
          <w:rFonts w:hint="eastAsia"/>
          <w:b/>
          <w:bCs/>
        </w:rPr>
        <w:t>附件</w:t>
      </w:r>
      <w:bookmarkEnd w:id="111"/>
      <w:bookmarkEnd w:id="112"/>
      <w:bookmarkEnd w:id="113"/>
      <w:bookmarkEnd w:id="114"/>
      <w:bookmarkEnd w:id="115"/>
    </w:p>
    <w:tbl>
      <w:tblPr>
        <w:tblStyle w:val="7"/>
        <w:tblW w:w="8336" w:type="dxa"/>
        <w:tblInd w:w="0" w:type="dxa"/>
        <w:tblLayout w:type="fixed"/>
        <w:tblCellMar>
          <w:top w:w="15" w:type="dxa"/>
          <w:left w:w="15" w:type="dxa"/>
          <w:bottom w:w="15" w:type="dxa"/>
          <w:right w:w="15" w:type="dxa"/>
        </w:tblCellMar>
      </w:tblPr>
      <w:tblGrid>
        <w:gridCol w:w="832"/>
        <w:gridCol w:w="832"/>
        <w:gridCol w:w="832"/>
        <w:gridCol w:w="956"/>
        <w:gridCol w:w="1481"/>
        <w:gridCol w:w="1035"/>
        <w:gridCol w:w="1036"/>
        <w:gridCol w:w="1332"/>
      </w:tblGrid>
      <w:tr>
        <w:tblPrEx>
          <w:tblLayout w:type="fixed"/>
          <w:tblCellMar>
            <w:top w:w="15" w:type="dxa"/>
            <w:left w:w="15" w:type="dxa"/>
            <w:bottom w:w="15" w:type="dxa"/>
            <w:right w:w="15" w:type="dxa"/>
          </w:tblCellMar>
        </w:tblPrEx>
        <w:trPr>
          <w:trHeight w:val="600" w:hRule="atLeast"/>
        </w:trPr>
        <w:tc>
          <w:tcPr>
            <w:tcW w:w="8336" w:type="dxa"/>
            <w:gridSpan w:val="8"/>
            <w:shd w:val="clear" w:color="auto" w:fill="auto"/>
            <w:vAlign w:val="center"/>
          </w:tcPr>
          <w:p>
            <w:pPr>
              <w:widowControl/>
              <w:ind w:firstLine="643"/>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lang w:bidi="ar"/>
              </w:rPr>
              <w:t>“学员培训经费”项目绩效目标自评表</w:t>
            </w:r>
            <w:r>
              <w:rPr>
                <w:rStyle w:val="18"/>
                <w:rFonts w:hint="default"/>
                <w:lang w:bidi="ar"/>
              </w:rPr>
              <w:t xml:space="preserve"> </w:t>
            </w:r>
          </w:p>
        </w:tc>
      </w:tr>
      <w:tr>
        <w:tblPrEx>
          <w:tblLayout w:type="fixed"/>
          <w:tblCellMar>
            <w:top w:w="15" w:type="dxa"/>
            <w:left w:w="15" w:type="dxa"/>
            <w:bottom w:w="15" w:type="dxa"/>
            <w:right w:w="15" w:type="dxa"/>
          </w:tblCellMar>
        </w:tblPrEx>
        <w:trPr>
          <w:trHeight w:val="420" w:hRule="atLeast"/>
        </w:trPr>
        <w:tc>
          <w:tcPr>
            <w:tcW w:w="8336" w:type="dxa"/>
            <w:gridSpan w:val="8"/>
            <w:tcBorders>
              <w:bottom w:val="single" w:color="000000" w:sz="4" w:space="0"/>
            </w:tcBorders>
            <w:shd w:val="clear" w:color="auto" w:fill="auto"/>
          </w:tcPr>
          <w:p>
            <w:pPr>
              <w:widowControl/>
              <w:ind w:firstLine="440"/>
              <w:jc w:val="center"/>
              <w:textAlignment w:val="top"/>
              <w:rPr>
                <w:rFonts w:ascii="宋体" w:hAnsi="宋体" w:eastAsia="宋体" w:cs="宋体"/>
                <w:color w:val="000000"/>
                <w:sz w:val="22"/>
                <w:szCs w:val="22"/>
              </w:rPr>
            </w:pPr>
            <w:r>
              <w:rPr>
                <w:rFonts w:hint="eastAsia" w:ascii="宋体" w:hAnsi="宋体" w:eastAsia="宋体" w:cs="宋体"/>
                <w:color w:val="000000"/>
                <w:kern w:val="0"/>
                <w:sz w:val="22"/>
                <w:szCs w:val="22"/>
                <w:lang w:bidi="ar"/>
              </w:rPr>
              <w:t>（2017年度）</w:t>
            </w:r>
          </w:p>
        </w:tc>
      </w:tr>
      <w:tr>
        <w:tblPrEx>
          <w:tblLayout w:type="fixed"/>
          <w:tblCellMar>
            <w:top w:w="15" w:type="dxa"/>
            <w:left w:w="15" w:type="dxa"/>
            <w:bottom w:w="15" w:type="dxa"/>
            <w:right w:w="15" w:type="dxa"/>
          </w:tblCellMar>
        </w:tblPrEx>
        <w:trPr>
          <w:trHeight w:val="316" w:hRule="atLeast"/>
        </w:trPr>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专项（项目）名称</w:t>
            </w:r>
          </w:p>
        </w:tc>
        <w:tc>
          <w:tcPr>
            <w:tcW w:w="5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学员培训经费</w:t>
            </w:r>
          </w:p>
        </w:tc>
      </w:tr>
      <w:tr>
        <w:tblPrEx>
          <w:tblLayout w:type="fixed"/>
          <w:tblCellMar>
            <w:top w:w="15" w:type="dxa"/>
            <w:left w:w="15" w:type="dxa"/>
            <w:bottom w:w="15" w:type="dxa"/>
            <w:right w:w="15" w:type="dxa"/>
          </w:tblCellMar>
        </w:tblPrEx>
        <w:trPr>
          <w:trHeight w:val="316" w:hRule="atLeast"/>
        </w:trPr>
        <w:tc>
          <w:tcPr>
            <w:tcW w:w="24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主管部门</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湖北省社会主义学院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实施单位</w:t>
            </w:r>
          </w:p>
        </w:tc>
        <w:tc>
          <w:tcPr>
            <w:tcW w:w="2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湖北省社会主义学院</w:t>
            </w:r>
          </w:p>
        </w:tc>
      </w:tr>
      <w:tr>
        <w:tblPrEx>
          <w:tblLayout w:type="fixed"/>
          <w:tblCellMar>
            <w:top w:w="15" w:type="dxa"/>
            <w:left w:w="15" w:type="dxa"/>
            <w:bottom w:w="15" w:type="dxa"/>
            <w:right w:w="15" w:type="dxa"/>
          </w:tblCellMar>
        </w:tblPrEx>
        <w:trPr>
          <w:trHeight w:val="316" w:hRule="atLeast"/>
        </w:trPr>
        <w:tc>
          <w:tcPr>
            <w:tcW w:w="249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项目资金（万元）</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全年预算数（A）</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全年执行数（B）</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执行率（B/A)</w:t>
            </w:r>
          </w:p>
        </w:tc>
      </w:tr>
      <w:tr>
        <w:tblPrEx>
          <w:tblLayout w:type="fixed"/>
          <w:tblCellMar>
            <w:top w:w="15" w:type="dxa"/>
            <w:left w:w="15" w:type="dxa"/>
            <w:bottom w:w="15" w:type="dxa"/>
            <w:right w:w="15" w:type="dxa"/>
          </w:tblCellMar>
        </w:tblPrEx>
        <w:trPr>
          <w:trHeight w:val="316" w:hRule="atLeast"/>
        </w:trPr>
        <w:tc>
          <w:tcPr>
            <w:tcW w:w="24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年度资金总额：</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615.76</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648.53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105.32%</w:t>
            </w:r>
          </w:p>
        </w:tc>
      </w:tr>
      <w:tr>
        <w:tblPrEx>
          <w:tblLayout w:type="fixed"/>
          <w:tblCellMar>
            <w:top w:w="15" w:type="dxa"/>
            <w:left w:w="15" w:type="dxa"/>
            <w:bottom w:w="15" w:type="dxa"/>
            <w:right w:w="15" w:type="dxa"/>
          </w:tblCellMar>
        </w:tblPrEx>
        <w:trPr>
          <w:trHeight w:val="480" w:hRule="atLeast"/>
        </w:trPr>
        <w:tc>
          <w:tcPr>
            <w:tcW w:w="24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其中：一般公共预算财政拨款</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615.76</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648.53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105.32%</w:t>
            </w:r>
          </w:p>
        </w:tc>
      </w:tr>
      <w:tr>
        <w:tblPrEx>
          <w:tblLayout w:type="fixed"/>
          <w:tblCellMar>
            <w:top w:w="15" w:type="dxa"/>
            <w:left w:w="15" w:type="dxa"/>
            <w:bottom w:w="15" w:type="dxa"/>
            <w:right w:w="15" w:type="dxa"/>
          </w:tblCellMar>
        </w:tblPrEx>
        <w:trPr>
          <w:trHeight w:val="465" w:hRule="atLeast"/>
        </w:trPr>
        <w:tc>
          <w:tcPr>
            <w:tcW w:w="249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申请当年预算拨款</w:t>
            </w:r>
            <w:r>
              <w:rPr>
                <w:rStyle w:val="19"/>
                <w:rFonts w:hint="default"/>
                <w:lang w:bidi="ar"/>
              </w:rPr>
              <w:br w:type="textWrapping"/>
            </w:r>
            <w:r>
              <w:rPr>
                <w:rStyle w:val="19"/>
                <w:rFonts w:hint="default"/>
                <w:lang w:bidi="ar"/>
              </w:rPr>
              <w:t xml:space="preserve">   </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615.76</w:t>
            </w:r>
          </w:p>
        </w:tc>
        <w:tc>
          <w:tcPr>
            <w:tcW w:w="2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648.53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105.32%</w:t>
            </w:r>
          </w:p>
        </w:tc>
      </w:tr>
      <w:tr>
        <w:tblPrEx>
          <w:tblLayout w:type="fixed"/>
          <w:tblCellMar>
            <w:top w:w="15" w:type="dxa"/>
            <w:left w:w="15" w:type="dxa"/>
            <w:bottom w:w="15" w:type="dxa"/>
            <w:right w:w="15" w:type="dxa"/>
          </w:tblCellMar>
        </w:tblPrEx>
        <w:trPr>
          <w:trHeight w:val="316"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年度总体目标</w:t>
            </w: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年初设定目标</w:t>
            </w:r>
          </w:p>
        </w:tc>
        <w:tc>
          <w:tcPr>
            <w:tcW w:w="3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全年实际完成情况</w:t>
            </w:r>
          </w:p>
        </w:tc>
      </w:tr>
      <w:tr>
        <w:tblPrEx>
          <w:tblLayout w:type="fixed"/>
          <w:tblCellMar>
            <w:top w:w="15" w:type="dxa"/>
            <w:left w:w="15" w:type="dxa"/>
            <w:bottom w:w="15" w:type="dxa"/>
            <w:right w:w="15" w:type="dxa"/>
          </w:tblCellMar>
        </w:tblPrEx>
        <w:trPr>
          <w:trHeight w:val="393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41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目标1: 教学班次完成序时目标     </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目标2: 教学管理工作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目标3: 后勤管理工作     </w:t>
            </w:r>
          </w:p>
        </w:tc>
        <w:tc>
          <w:tcPr>
            <w:tcW w:w="34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目标1：完成党外代表人士培训班（主体）6个、党外代表人士培训班（非主体）9个、民族宗教人士培训班2个、统战干部培训班11个、非公人士培训班2个、其他统战对象培训班3个、统战理论师资班1个、社会新阶层培训班2个、乡镇干部培训班1个。         目标2：全年培训学员2658人、打造名师精品课程4项、教学计划完成率105%、教学档案归档及时率100%、学员考评及时率100%、教学评估及时率100%、无线网络覆盖率100%、学员对教师满意率93.1、学员对课程设置满意度96.5%。                            目标3：全年后勤服务满意率97%、解决社会就业数53人、设备正常运转情况及保安应急处理能力均合格、完成门面出租收益</w:t>
            </w:r>
            <w:r>
              <w:rPr>
                <w:rFonts w:hint="eastAsia" w:ascii="宋体" w:hAnsi="宋体" w:eastAsia="宋体" w:cs="宋体"/>
                <w:color w:val="000000"/>
                <w:kern w:val="0"/>
                <w:sz w:val="20"/>
                <w:szCs w:val="20"/>
                <w:lang w:val="en-US" w:eastAsia="zh-CN" w:bidi="ar"/>
              </w:rPr>
              <w:t>71</w:t>
            </w:r>
            <w:r>
              <w:rPr>
                <w:rFonts w:hint="eastAsia" w:ascii="宋体" w:hAnsi="宋体" w:eastAsia="宋体" w:cs="宋体"/>
                <w:color w:val="000000"/>
                <w:kern w:val="0"/>
                <w:sz w:val="20"/>
                <w:szCs w:val="20"/>
                <w:lang w:bidi="ar"/>
              </w:rPr>
              <w:t>万元、设备采购及维修维保均为超标，有效保障学院餐饮供应。</w:t>
            </w:r>
          </w:p>
        </w:tc>
      </w:tr>
      <w:tr>
        <w:tblPrEx>
          <w:tblLayout w:type="fixed"/>
          <w:tblCellMar>
            <w:top w:w="15" w:type="dxa"/>
            <w:left w:w="15" w:type="dxa"/>
            <w:bottom w:w="15" w:type="dxa"/>
            <w:right w:w="15" w:type="dxa"/>
          </w:tblCellMar>
        </w:tblPrEx>
        <w:trPr>
          <w:trHeight w:val="461" w:hRule="atLeast"/>
        </w:trPr>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一级指标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600" w:firstLineChars="3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年度指标值</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全年完成值</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未完成原因和改进措施</w:t>
            </w:r>
          </w:p>
        </w:tc>
      </w:tr>
      <w:tr>
        <w:tblPrEx>
          <w:tblLayout w:type="fixed"/>
          <w:tblCellMar>
            <w:top w:w="15" w:type="dxa"/>
            <w:left w:w="15" w:type="dxa"/>
            <w:bottom w:w="15" w:type="dxa"/>
            <w:right w:w="15" w:type="dxa"/>
          </w:tblCellMar>
        </w:tblPrEx>
        <w:trPr>
          <w:trHeight w:val="27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出</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党外代表人士培训班（主体）</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7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党外代表人士培训班（非主体）</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7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民族宗教人士培训班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7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统战干部培训班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7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非公人士培训班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全年只开办了2非公人士培训班。改进措施是进一步加强预算编报测算的合理性，合理设置绩效目标，增强绩效目标的导向作用。</w:t>
            </w:r>
          </w:p>
        </w:tc>
      </w:tr>
      <w:tr>
        <w:tblPrEx>
          <w:tblLayout w:type="fixed"/>
          <w:tblCellMar>
            <w:top w:w="15" w:type="dxa"/>
            <w:left w:w="15" w:type="dxa"/>
            <w:bottom w:w="15" w:type="dxa"/>
            <w:right w:w="15" w:type="dxa"/>
          </w:tblCellMar>
        </w:tblPrEx>
        <w:trPr>
          <w:trHeight w:val="27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其他统战对象培训班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7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统战理论师资班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社会新阶层培训班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全年只开办了2社会新阶层培训班。改进措施是进一步加强预算编报测算的合理性，合理设置绩效目标，增强绩效目标的导向作用。</w:t>
            </w: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乡镇干部培训班</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培训学员人数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2000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2658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教学计划完成率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无线网络覆盖率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121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专题教学及时率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此指标与教学计划完成率指标重复设置，不具备考核价值，建议删除。改进措施是加强绩效目标编报的科学性、合理性及重要性，对考核意义不大的指标进行精简。</w:t>
            </w:r>
          </w:p>
        </w:tc>
      </w:tr>
      <w:tr>
        <w:tblPrEx>
          <w:tblLayout w:type="fixed"/>
          <w:tblCellMar>
            <w:top w:w="15" w:type="dxa"/>
            <w:left w:w="15" w:type="dxa"/>
            <w:bottom w:w="15" w:type="dxa"/>
            <w:right w:w="15" w:type="dxa"/>
          </w:tblCellMar>
        </w:tblPrEx>
        <w:trPr>
          <w:trHeight w:val="615"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打造名师精品课程</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设备正常运转情况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正常</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正常</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教学档案归档及时率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学员考评及时率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教学评估及时率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成本指标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设备采购有无超标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维修维保有无超标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餐饮保障超标率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无</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效</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标</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经济效益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门面出租收益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70万</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71</w:t>
            </w:r>
            <w:r>
              <w:rPr>
                <w:rFonts w:hint="eastAsia" w:ascii="宋体" w:hAnsi="宋体" w:eastAsia="宋体" w:cs="宋体"/>
                <w:color w:val="000000"/>
                <w:kern w:val="0"/>
                <w:sz w:val="20"/>
                <w:szCs w:val="20"/>
                <w:lang w:bidi="ar"/>
              </w:rPr>
              <w:t>万元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合同约定租金收益</w:t>
            </w:r>
            <w:r>
              <w:rPr>
                <w:rFonts w:hint="eastAsia" w:ascii="宋体" w:hAnsi="宋体" w:eastAsia="宋体" w:cs="宋体"/>
                <w:color w:val="000000"/>
                <w:sz w:val="20"/>
                <w:szCs w:val="20"/>
                <w:lang w:val="en-US" w:eastAsia="zh-CN"/>
              </w:rPr>
              <w:t>71</w:t>
            </w:r>
            <w:r>
              <w:rPr>
                <w:rFonts w:hint="eastAsia" w:ascii="宋体" w:hAnsi="宋体" w:eastAsia="宋体" w:cs="宋体"/>
                <w:color w:val="000000"/>
                <w:sz w:val="20"/>
                <w:szCs w:val="20"/>
              </w:rPr>
              <w:t>万元。改进措施进一步加强市场调研，强化绩效目标的准确性。</w:t>
            </w: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解决社会就业数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54人</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53人</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去年聘用人数53人。改进措施是加强绩效目标编报的科学性、合理性及重要性，对考核意义不大的指标进行精简。</w:t>
            </w:r>
          </w:p>
        </w:tc>
      </w:tr>
      <w:tr>
        <w:tblPrEx>
          <w:tblLayout w:type="fixed"/>
          <w:tblCellMar>
            <w:top w:w="15" w:type="dxa"/>
            <w:left w:w="15" w:type="dxa"/>
            <w:bottom w:w="15" w:type="dxa"/>
            <w:right w:w="15" w:type="dxa"/>
          </w:tblCellMar>
        </w:tblPrEx>
        <w:trPr>
          <w:trHeight w:val="54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保安应急处理能力</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合格</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合格</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服务对象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满意度指标</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学员对专职教师满意度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80%</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93.10%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56"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学员对课程设置满意度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bookmarkStart w:id="116" w:name="_GoBack"/>
            <w:bookmarkEnd w:id="116"/>
            <w:r>
              <w:rPr>
                <w:rFonts w:hint="eastAsia" w:ascii="宋体" w:hAnsi="宋体" w:eastAsia="宋体" w:cs="宋体"/>
                <w:color w:val="000000"/>
                <w:kern w:val="0"/>
                <w:sz w:val="20"/>
                <w:szCs w:val="20"/>
                <w:lang w:bidi="ar"/>
              </w:rPr>
              <w:t>85%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96.50%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1561"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学员对兼职教师满意度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w:t>
            </w:r>
          </w:p>
        </w:tc>
        <w:tc>
          <w:tcPr>
            <w:tcW w:w="1036" w:type="dxa"/>
            <w:shd w:val="clear" w:color="auto" w:fill="auto"/>
            <w:vAlign w:val="center"/>
          </w:tcPr>
          <w:p>
            <w:pPr>
              <w:ind w:firstLine="400"/>
              <w:jc w:val="center"/>
              <w:rPr>
                <w:rFonts w:ascii="宋体" w:hAnsi="宋体" w:eastAsia="宋体" w:cs="宋体"/>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该指标与学员对专职教师满意度重复设置，无考核意义，建议设置为员对教师满意度。改进措施是加强绩效目标编报的科学性、合理性及重要性，对考核意义不大的指标进行精简。</w:t>
            </w:r>
          </w:p>
        </w:tc>
      </w:tr>
      <w:tr>
        <w:tblPrEx>
          <w:tblLayout w:type="fixed"/>
          <w:tblCellMar>
            <w:top w:w="15" w:type="dxa"/>
            <w:left w:w="15" w:type="dxa"/>
            <w:bottom w:w="15" w:type="dxa"/>
            <w:right w:w="15" w:type="dxa"/>
          </w:tblCellMar>
        </w:tblPrEx>
        <w:trPr>
          <w:trHeight w:val="45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后勤服务满意率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960" w:hRule="atLeast"/>
        </w:trPr>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对社院服务的满意度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4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95%</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00"/>
              <w:jc w:val="center"/>
              <w:rPr>
                <w:rFonts w:ascii="宋体" w:hAnsi="宋体" w:eastAsia="宋体" w:cs="宋体"/>
                <w:color w:val="000000"/>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该指标与后勤服务满意率重复设置，无考核意义，建议删除。改进措施是加强绩效目标编报的科学性、合理性及重要性，对考核意义不大的指标进行精简。</w:t>
            </w:r>
          </w:p>
        </w:tc>
      </w:tr>
      <w:tr>
        <w:tblPrEx>
          <w:tblLayout w:type="fixed"/>
          <w:tblCellMar>
            <w:top w:w="15" w:type="dxa"/>
            <w:left w:w="15" w:type="dxa"/>
            <w:bottom w:w="15" w:type="dxa"/>
            <w:right w:w="15" w:type="dxa"/>
          </w:tblCellMar>
        </w:tblPrEx>
        <w:trPr>
          <w:trHeight w:val="855" w:hRule="atLeast"/>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both"/>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说明</w:t>
            </w:r>
          </w:p>
        </w:tc>
        <w:tc>
          <w:tcPr>
            <w:tcW w:w="75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无。</w:t>
            </w:r>
          </w:p>
        </w:tc>
      </w:tr>
    </w:tbl>
    <w:p>
      <w:pPr>
        <w:ind w:firstLine="0" w:firstLineChars="0"/>
      </w:pPr>
    </w:p>
    <w:sectPr>
      <w:footerReference r:id="rId9"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EB3EBF"/>
    <w:multiLevelType w:val="singleLevel"/>
    <w:tmpl w:val="86EB3EBF"/>
    <w:lvl w:ilvl="0" w:tentative="0">
      <w:start w:val="2"/>
      <w:numFmt w:val="chineseCounting"/>
      <w:suff w:val="nothing"/>
      <w:lvlText w:val="%1、"/>
      <w:lvlJc w:val="left"/>
      <w:rPr>
        <w:rFonts w:hint="eastAsia"/>
      </w:rPr>
    </w:lvl>
  </w:abstractNum>
  <w:abstractNum w:abstractNumId="1">
    <w:nsid w:val="14B475EB"/>
    <w:multiLevelType w:val="singleLevel"/>
    <w:tmpl w:val="14B475EB"/>
    <w:lvl w:ilvl="0" w:tentative="0">
      <w:start w:val="1"/>
      <w:numFmt w:val="decimal"/>
      <w:lvlText w:val="%1."/>
      <w:lvlJc w:val="left"/>
      <w:pPr>
        <w:tabs>
          <w:tab w:val="left" w:pos="312"/>
        </w:tabs>
      </w:pPr>
    </w:lvl>
  </w:abstractNum>
  <w:abstractNum w:abstractNumId="2">
    <w:nsid w:val="4C003C94"/>
    <w:multiLevelType w:val="singleLevel"/>
    <w:tmpl w:val="4C003C94"/>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C6"/>
    <w:rsid w:val="0003005F"/>
    <w:rsid w:val="00083EB8"/>
    <w:rsid w:val="00094E67"/>
    <w:rsid w:val="00131E66"/>
    <w:rsid w:val="00153394"/>
    <w:rsid w:val="00185067"/>
    <w:rsid w:val="0028616B"/>
    <w:rsid w:val="003227C6"/>
    <w:rsid w:val="003344DB"/>
    <w:rsid w:val="003C7F3D"/>
    <w:rsid w:val="003E2D58"/>
    <w:rsid w:val="004B55EE"/>
    <w:rsid w:val="0055160D"/>
    <w:rsid w:val="00662C0A"/>
    <w:rsid w:val="0067625C"/>
    <w:rsid w:val="006E2DAD"/>
    <w:rsid w:val="006F0558"/>
    <w:rsid w:val="007B38A6"/>
    <w:rsid w:val="00805206"/>
    <w:rsid w:val="00896618"/>
    <w:rsid w:val="008B4299"/>
    <w:rsid w:val="009369AD"/>
    <w:rsid w:val="009701A0"/>
    <w:rsid w:val="00970DCD"/>
    <w:rsid w:val="00AB4ED7"/>
    <w:rsid w:val="00AD645B"/>
    <w:rsid w:val="00AE1B4F"/>
    <w:rsid w:val="00BB6021"/>
    <w:rsid w:val="00BC59CF"/>
    <w:rsid w:val="00CC470E"/>
    <w:rsid w:val="00D57A51"/>
    <w:rsid w:val="00E8256E"/>
    <w:rsid w:val="00F20601"/>
    <w:rsid w:val="00F27C37"/>
    <w:rsid w:val="00F41E2D"/>
    <w:rsid w:val="0122307A"/>
    <w:rsid w:val="0147061F"/>
    <w:rsid w:val="015B3951"/>
    <w:rsid w:val="015D4AFE"/>
    <w:rsid w:val="015E252A"/>
    <w:rsid w:val="01784AEE"/>
    <w:rsid w:val="017B0237"/>
    <w:rsid w:val="01884EBC"/>
    <w:rsid w:val="019E5E3A"/>
    <w:rsid w:val="02052806"/>
    <w:rsid w:val="02617381"/>
    <w:rsid w:val="026912A3"/>
    <w:rsid w:val="02830867"/>
    <w:rsid w:val="02855D11"/>
    <w:rsid w:val="02B67E07"/>
    <w:rsid w:val="02C16F54"/>
    <w:rsid w:val="02D402DA"/>
    <w:rsid w:val="02D703E0"/>
    <w:rsid w:val="02E47F8F"/>
    <w:rsid w:val="02E901B4"/>
    <w:rsid w:val="031420A3"/>
    <w:rsid w:val="03245495"/>
    <w:rsid w:val="035F59FF"/>
    <w:rsid w:val="037C55EF"/>
    <w:rsid w:val="039B67B7"/>
    <w:rsid w:val="03B014C8"/>
    <w:rsid w:val="03CE6952"/>
    <w:rsid w:val="03DB1ED4"/>
    <w:rsid w:val="04055B0F"/>
    <w:rsid w:val="04135FBA"/>
    <w:rsid w:val="042E4D59"/>
    <w:rsid w:val="0441029A"/>
    <w:rsid w:val="045D16A7"/>
    <w:rsid w:val="04646D41"/>
    <w:rsid w:val="048909AA"/>
    <w:rsid w:val="0492296C"/>
    <w:rsid w:val="04C976D0"/>
    <w:rsid w:val="04CA2F9B"/>
    <w:rsid w:val="04DC74F0"/>
    <w:rsid w:val="05041A92"/>
    <w:rsid w:val="050B75E7"/>
    <w:rsid w:val="0526378C"/>
    <w:rsid w:val="05402BFD"/>
    <w:rsid w:val="05451FFA"/>
    <w:rsid w:val="05476D73"/>
    <w:rsid w:val="058679BF"/>
    <w:rsid w:val="058E08A8"/>
    <w:rsid w:val="05997DF6"/>
    <w:rsid w:val="05B37F12"/>
    <w:rsid w:val="05C628DD"/>
    <w:rsid w:val="05D91147"/>
    <w:rsid w:val="05D9287E"/>
    <w:rsid w:val="05FA20BD"/>
    <w:rsid w:val="06103185"/>
    <w:rsid w:val="061C5335"/>
    <w:rsid w:val="062274A8"/>
    <w:rsid w:val="064A3794"/>
    <w:rsid w:val="0657591F"/>
    <w:rsid w:val="065D1B31"/>
    <w:rsid w:val="066153CE"/>
    <w:rsid w:val="066F23DE"/>
    <w:rsid w:val="0675413B"/>
    <w:rsid w:val="06776E88"/>
    <w:rsid w:val="06843021"/>
    <w:rsid w:val="069D71EA"/>
    <w:rsid w:val="06A02898"/>
    <w:rsid w:val="06CC5CE5"/>
    <w:rsid w:val="06F929BC"/>
    <w:rsid w:val="06FC4D90"/>
    <w:rsid w:val="070E0E43"/>
    <w:rsid w:val="07101611"/>
    <w:rsid w:val="07215141"/>
    <w:rsid w:val="07536920"/>
    <w:rsid w:val="075A2003"/>
    <w:rsid w:val="077B2924"/>
    <w:rsid w:val="07A44F42"/>
    <w:rsid w:val="07A51FA6"/>
    <w:rsid w:val="07B21AA9"/>
    <w:rsid w:val="07D55786"/>
    <w:rsid w:val="07E634F9"/>
    <w:rsid w:val="07EB738A"/>
    <w:rsid w:val="07F41778"/>
    <w:rsid w:val="08081A97"/>
    <w:rsid w:val="082924D2"/>
    <w:rsid w:val="082B5B1C"/>
    <w:rsid w:val="084C1A7C"/>
    <w:rsid w:val="08B65B79"/>
    <w:rsid w:val="08BE13F7"/>
    <w:rsid w:val="08C84644"/>
    <w:rsid w:val="08F5292C"/>
    <w:rsid w:val="090252E5"/>
    <w:rsid w:val="09725492"/>
    <w:rsid w:val="09726A59"/>
    <w:rsid w:val="0978101D"/>
    <w:rsid w:val="097C5F9E"/>
    <w:rsid w:val="097D61C2"/>
    <w:rsid w:val="09A170E7"/>
    <w:rsid w:val="09B64FFF"/>
    <w:rsid w:val="09EF5269"/>
    <w:rsid w:val="09EF5E2F"/>
    <w:rsid w:val="09F516EC"/>
    <w:rsid w:val="0A1B2265"/>
    <w:rsid w:val="0A1C4259"/>
    <w:rsid w:val="0A3675BC"/>
    <w:rsid w:val="0A531D41"/>
    <w:rsid w:val="0A5354FD"/>
    <w:rsid w:val="0A631766"/>
    <w:rsid w:val="0A733744"/>
    <w:rsid w:val="0A7D2667"/>
    <w:rsid w:val="0A7E735B"/>
    <w:rsid w:val="0AB27B6D"/>
    <w:rsid w:val="0ABD2615"/>
    <w:rsid w:val="0ADB1E42"/>
    <w:rsid w:val="0AF61909"/>
    <w:rsid w:val="0AF803FE"/>
    <w:rsid w:val="0AFA20DA"/>
    <w:rsid w:val="0AFA6FE4"/>
    <w:rsid w:val="0B171BA8"/>
    <w:rsid w:val="0B180268"/>
    <w:rsid w:val="0B1E67F1"/>
    <w:rsid w:val="0B2E6BCA"/>
    <w:rsid w:val="0BBC5FCB"/>
    <w:rsid w:val="0BC37D30"/>
    <w:rsid w:val="0BD001C3"/>
    <w:rsid w:val="0BF1370E"/>
    <w:rsid w:val="0C253205"/>
    <w:rsid w:val="0C28010F"/>
    <w:rsid w:val="0C3B5DB3"/>
    <w:rsid w:val="0C451138"/>
    <w:rsid w:val="0C4D7BB1"/>
    <w:rsid w:val="0C523A31"/>
    <w:rsid w:val="0C584109"/>
    <w:rsid w:val="0C5C0C56"/>
    <w:rsid w:val="0CB634C1"/>
    <w:rsid w:val="0CBF50E0"/>
    <w:rsid w:val="0CCF3BF2"/>
    <w:rsid w:val="0CE94F24"/>
    <w:rsid w:val="0D0D72BC"/>
    <w:rsid w:val="0D0F44C1"/>
    <w:rsid w:val="0D153CD4"/>
    <w:rsid w:val="0D3137D2"/>
    <w:rsid w:val="0D377029"/>
    <w:rsid w:val="0D627E9F"/>
    <w:rsid w:val="0DA02A07"/>
    <w:rsid w:val="0DBF5CC4"/>
    <w:rsid w:val="0DC351C4"/>
    <w:rsid w:val="0DCD06D5"/>
    <w:rsid w:val="0DD32094"/>
    <w:rsid w:val="0DD60CA6"/>
    <w:rsid w:val="0DE521A7"/>
    <w:rsid w:val="0DF371FD"/>
    <w:rsid w:val="0E0D4830"/>
    <w:rsid w:val="0E290FFB"/>
    <w:rsid w:val="0E2E7B0B"/>
    <w:rsid w:val="0E5C4D25"/>
    <w:rsid w:val="0EAC1E0E"/>
    <w:rsid w:val="0EAC3851"/>
    <w:rsid w:val="0EAC7D04"/>
    <w:rsid w:val="0EE33938"/>
    <w:rsid w:val="0F2A6FB9"/>
    <w:rsid w:val="0F42414B"/>
    <w:rsid w:val="0F6E4E6C"/>
    <w:rsid w:val="0F6F5FCF"/>
    <w:rsid w:val="0F763738"/>
    <w:rsid w:val="0F7D0598"/>
    <w:rsid w:val="0F81384D"/>
    <w:rsid w:val="0F825076"/>
    <w:rsid w:val="0F831EC4"/>
    <w:rsid w:val="0F8E5B3A"/>
    <w:rsid w:val="0F9116B0"/>
    <w:rsid w:val="0F9A24F2"/>
    <w:rsid w:val="0FA30E67"/>
    <w:rsid w:val="0FA86A84"/>
    <w:rsid w:val="0FD66012"/>
    <w:rsid w:val="1009272C"/>
    <w:rsid w:val="10433FC5"/>
    <w:rsid w:val="106A6919"/>
    <w:rsid w:val="10706E58"/>
    <w:rsid w:val="107D3DDF"/>
    <w:rsid w:val="10965C2B"/>
    <w:rsid w:val="10B76AAA"/>
    <w:rsid w:val="10F443E2"/>
    <w:rsid w:val="116C793D"/>
    <w:rsid w:val="118E57D4"/>
    <w:rsid w:val="119C056F"/>
    <w:rsid w:val="11AF1936"/>
    <w:rsid w:val="11B35A8C"/>
    <w:rsid w:val="11D73122"/>
    <w:rsid w:val="11E21A61"/>
    <w:rsid w:val="11F37C7A"/>
    <w:rsid w:val="11F97C2E"/>
    <w:rsid w:val="120069F0"/>
    <w:rsid w:val="121F2A1E"/>
    <w:rsid w:val="12202CBC"/>
    <w:rsid w:val="123A4459"/>
    <w:rsid w:val="12992D6C"/>
    <w:rsid w:val="129F4D59"/>
    <w:rsid w:val="12C22AD3"/>
    <w:rsid w:val="12D8515E"/>
    <w:rsid w:val="12F218FB"/>
    <w:rsid w:val="13135D86"/>
    <w:rsid w:val="135977EE"/>
    <w:rsid w:val="13750A39"/>
    <w:rsid w:val="13864CFE"/>
    <w:rsid w:val="13B97F9C"/>
    <w:rsid w:val="13BB4965"/>
    <w:rsid w:val="13BF5B4C"/>
    <w:rsid w:val="13C241F3"/>
    <w:rsid w:val="13C866CE"/>
    <w:rsid w:val="13E35CC9"/>
    <w:rsid w:val="13E84BC5"/>
    <w:rsid w:val="13F4664C"/>
    <w:rsid w:val="142378B9"/>
    <w:rsid w:val="144A7A88"/>
    <w:rsid w:val="1457457F"/>
    <w:rsid w:val="145B1B77"/>
    <w:rsid w:val="14747232"/>
    <w:rsid w:val="14884441"/>
    <w:rsid w:val="14885E79"/>
    <w:rsid w:val="149425C9"/>
    <w:rsid w:val="14A8671E"/>
    <w:rsid w:val="14EF3A02"/>
    <w:rsid w:val="15117BF8"/>
    <w:rsid w:val="1530048D"/>
    <w:rsid w:val="153D36A9"/>
    <w:rsid w:val="154351D3"/>
    <w:rsid w:val="15723629"/>
    <w:rsid w:val="157716A3"/>
    <w:rsid w:val="157E43E5"/>
    <w:rsid w:val="1599369D"/>
    <w:rsid w:val="159B194E"/>
    <w:rsid w:val="15A25F59"/>
    <w:rsid w:val="15B96E1E"/>
    <w:rsid w:val="15D110CF"/>
    <w:rsid w:val="15DB27ED"/>
    <w:rsid w:val="15EE3113"/>
    <w:rsid w:val="16020D97"/>
    <w:rsid w:val="160E1847"/>
    <w:rsid w:val="160F5733"/>
    <w:rsid w:val="16316F3C"/>
    <w:rsid w:val="163F69F2"/>
    <w:rsid w:val="164D7EDC"/>
    <w:rsid w:val="164F1090"/>
    <w:rsid w:val="1658524C"/>
    <w:rsid w:val="165D41CC"/>
    <w:rsid w:val="168C7B8D"/>
    <w:rsid w:val="16982C2F"/>
    <w:rsid w:val="16BB099D"/>
    <w:rsid w:val="16BD0A63"/>
    <w:rsid w:val="16C0017E"/>
    <w:rsid w:val="16D3125B"/>
    <w:rsid w:val="171528F8"/>
    <w:rsid w:val="172013D6"/>
    <w:rsid w:val="17882CD9"/>
    <w:rsid w:val="17890AE6"/>
    <w:rsid w:val="17AE2F66"/>
    <w:rsid w:val="17D34859"/>
    <w:rsid w:val="17D54154"/>
    <w:rsid w:val="17E2277B"/>
    <w:rsid w:val="17E8120C"/>
    <w:rsid w:val="17EC33BF"/>
    <w:rsid w:val="18126EF1"/>
    <w:rsid w:val="18127CBB"/>
    <w:rsid w:val="181A438E"/>
    <w:rsid w:val="1845493F"/>
    <w:rsid w:val="18691EC5"/>
    <w:rsid w:val="187A5504"/>
    <w:rsid w:val="188D2E7D"/>
    <w:rsid w:val="18971A9C"/>
    <w:rsid w:val="18983995"/>
    <w:rsid w:val="18C36F51"/>
    <w:rsid w:val="18D77A09"/>
    <w:rsid w:val="18EF2222"/>
    <w:rsid w:val="18EF4E5B"/>
    <w:rsid w:val="19032013"/>
    <w:rsid w:val="190C54E3"/>
    <w:rsid w:val="190E302F"/>
    <w:rsid w:val="19230A18"/>
    <w:rsid w:val="19343364"/>
    <w:rsid w:val="19383867"/>
    <w:rsid w:val="193E3A88"/>
    <w:rsid w:val="19726310"/>
    <w:rsid w:val="1980732A"/>
    <w:rsid w:val="19A54E0E"/>
    <w:rsid w:val="19B3608F"/>
    <w:rsid w:val="19C06717"/>
    <w:rsid w:val="19D3064D"/>
    <w:rsid w:val="19D76AE1"/>
    <w:rsid w:val="19D83D11"/>
    <w:rsid w:val="19E971FA"/>
    <w:rsid w:val="19F97676"/>
    <w:rsid w:val="1A3971DB"/>
    <w:rsid w:val="1A5254B4"/>
    <w:rsid w:val="1A82325E"/>
    <w:rsid w:val="1ABD69E8"/>
    <w:rsid w:val="1ACA29D4"/>
    <w:rsid w:val="1ADB5D26"/>
    <w:rsid w:val="1AEB324E"/>
    <w:rsid w:val="1B0220D9"/>
    <w:rsid w:val="1B184FD0"/>
    <w:rsid w:val="1B1932B9"/>
    <w:rsid w:val="1B255DE2"/>
    <w:rsid w:val="1B2600D5"/>
    <w:rsid w:val="1B341AA7"/>
    <w:rsid w:val="1B401906"/>
    <w:rsid w:val="1B4E261C"/>
    <w:rsid w:val="1B725802"/>
    <w:rsid w:val="1B7F5E35"/>
    <w:rsid w:val="1B903D8C"/>
    <w:rsid w:val="1B9A5DE9"/>
    <w:rsid w:val="1BBF7B1A"/>
    <w:rsid w:val="1BEF62F9"/>
    <w:rsid w:val="1BF902C6"/>
    <w:rsid w:val="1C0544C8"/>
    <w:rsid w:val="1C4D21C8"/>
    <w:rsid w:val="1C6B70A4"/>
    <w:rsid w:val="1C732F4D"/>
    <w:rsid w:val="1C792EE5"/>
    <w:rsid w:val="1C803D91"/>
    <w:rsid w:val="1C946EDD"/>
    <w:rsid w:val="1C9C3623"/>
    <w:rsid w:val="1C9F5972"/>
    <w:rsid w:val="1CB67807"/>
    <w:rsid w:val="1CBF725F"/>
    <w:rsid w:val="1CC813A5"/>
    <w:rsid w:val="1CD552D1"/>
    <w:rsid w:val="1CFB6633"/>
    <w:rsid w:val="1D155E64"/>
    <w:rsid w:val="1D1A1C86"/>
    <w:rsid w:val="1D3B0DF2"/>
    <w:rsid w:val="1D6E160D"/>
    <w:rsid w:val="1DD900BD"/>
    <w:rsid w:val="1DF275FA"/>
    <w:rsid w:val="1E0147F8"/>
    <w:rsid w:val="1E0F59C5"/>
    <w:rsid w:val="1E287126"/>
    <w:rsid w:val="1E3878E4"/>
    <w:rsid w:val="1E4A61B1"/>
    <w:rsid w:val="1E5201A0"/>
    <w:rsid w:val="1E62029B"/>
    <w:rsid w:val="1E6B5276"/>
    <w:rsid w:val="1E7973E9"/>
    <w:rsid w:val="1E824782"/>
    <w:rsid w:val="1E872791"/>
    <w:rsid w:val="1E890102"/>
    <w:rsid w:val="1EA42943"/>
    <w:rsid w:val="1EBB25B7"/>
    <w:rsid w:val="1ECE2259"/>
    <w:rsid w:val="1EF85ECA"/>
    <w:rsid w:val="1EF92417"/>
    <w:rsid w:val="1F13642C"/>
    <w:rsid w:val="1F181870"/>
    <w:rsid w:val="1F252A97"/>
    <w:rsid w:val="1F2D06C5"/>
    <w:rsid w:val="1F300DD6"/>
    <w:rsid w:val="1F4D2B43"/>
    <w:rsid w:val="1F5049C1"/>
    <w:rsid w:val="1F59635C"/>
    <w:rsid w:val="1F6A6EC9"/>
    <w:rsid w:val="1F6F361E"/>
    <w:rsid w:val="1F7C1EA2"/>
    <w:rsid w:val="1F9233AA"/>
    <w:rsid w:val="1F956440"/>
    <w:rsid w:val="1FA8200B"/>
    <w:rsid w:val="1FCF2DF2"/>
    <w:rsid w:val="1FD0513D"/>
    <w:rsid w:val="1FE866F2"/>
    <w:rsid w:val="1FF53AB5"/>
    <w:rsid w:val="1FF878A2"/>
    <w:rsid w:val="202B0AFF"/>
    <w:rsid w:val="202B177D"/>
    <w:rsid w:val="2031183C"/>
    <w:rsid w:val="20375476"/>
    <w:rsid w:val="204B7E3B"/>
    <w:rsid w:val="205766A3"/>
    <w:rsid w:val="206A34EB"/>
    <w:rsid w:val="20932687"/>
    <w:rsid w:val="20B14246"/>
    <w:rsid w:val="20CD228D"/>
    <w:rsid w:val="20E230BC"/>
    <w:rsid w:val="20EB1BE3"/>
    <w:rsid w:val="21083644"/>
    <w:rsid w:val="21116759"/>
    <w:rsid w:val="21243806"/>
    <w:rsid w:val="21271B1B"/>
    <w:rsid w:val="213B2526"/>
    <w:rsid w:val="2177183B"/>
    <w:rsid w:val="21851311"/>
    <w:rsid w:val="218819C8"/>
    <w:rsid w:val="2190729D"/>
    <w:rsid w:val="219E01A8"/>
    <w:rsid w:val="219F5819"/>
    <w:rsid w:val="21AB3698"/>
    <w:rsid w:val="21BB1A05"/>
    <w:rsid w:val="21CB0025"/>
    <w:rsid w:val="21D21AF3"/>
    <w:rsid w:val="21F56A7B"/>
    <w:rsid w:val="220579FD"/>
    <w:rsid w:val="22363C96"/>
    <w:rsid w:val="22612942"/>
    <w:rsid w:val="22714919"/>
    <w:rsid w:val="228310C3"/>
    <w:rsid w:val="22932059"/>
    <w:rsid w:val="22944A14"/>
    <w:rsid w:val="22B21A4F"/>
    <w:rsid w:val="22DA2202"/>
    <w:rsid w:val="22EC0202"/>
    <w:rsid w:val="22EC30E9"/>
    <w:rsid w:val="22EF4D55"/>
    <w:rsid w:val="230A1ACE"/>
    <w:rsid w:val="230C14AB"/>
    <w:rsid w:val="233B3634"/>
    <w:rsid w:val="235139F9"/>
    <w:rsid w:val="236E065D"/>
    <w:rsid w:val="23823F72"/>
    <w:rsid w:val="23A65962"/>
    <w:rsid w:val="23D32DC8"/>
    <w:rsid w:val="23DC5258"/>
    <w:rsid w:val="23F03988"/>
    <w:rsid w:val="24087012"/>
    <w:rsid w:val="241E4A47"/>
    <w:rsid w:val="242616D1"/>
    <w:rsid w:val="243B5A61"/>
    <w:rsid w:val="243D0955"/>
    <w:rsid w:val="2450445B"/>
    <w:rsid w:val="247C70D0"/>
    <w:rsid w:val="24867D6B"/>
    <w:rsid w:val="24B010C2"/>
    <w:rsid w:val="24D149A7"/>
    <w:rsid w:val="2509030B"/>
    <w:rsid w:val="251B79D5"/>
    <w:rsid w:val="2545259E"/>
    <w:rsid w:val="255061A3"/>
    <w:rsid w:val="25544AED"/>
    <w:rsid w:val="255478FD"/>
    <w:rsid w:val="25732671"/>
    <w:rsid w:val="25747986"/>
    <w:rsid w:val="25863067"/>
    <w:rsid w:val="25A078DB"/>
    <w:rsid w:val="25A12527"/>
    <w:rsid w:val="25A73D44"/>
    <w:rsid w:val="25B932D7"/>
    <w:rsid w:val="25E52504"/>
    <w:rsid w:val="25E61DCD"/>
    <w:rsid w:val="25F20D7E"/>
    <w:rsid w:val="25F71930"/>
    <w:rsid w:val="25FE645D"/>
    <w:rsid w:val="261E4D44"/>
    <w:rsid w:val="26236AB8"/>
    <w:rsid w:val="26265A03"/>
    <w:rsid w:val="264A4F1F"/>
    <w:rsid w:val="26513FB4"/>
    <w:rsid w:val="26AC4993"/>
    <w:rsid w:val="26B91B87"/>
    <w:rsid w:val="26CA0D96"/>
    <w:rsid w:val="26DC4D28"/>
    <w:rsid w:val="26DD077F"/>
    <w:rsid w:val="26E114F6"/>
    <w:rsid w:val="27225C50"/>
    <w:rsid w:val="27370989"/>
    <w:rsid w:val="27427F88"/>
    <w:rsid w:val="27575FC3"/>
    <w:rsid w:val="276238DF"/>
    <w:rsid w:val="277333B7"/>
    <w:rsid w:val="27A22A59"/>
    <w:rsid w:val="27DB2A98"/>
    <w:rsid w:val="27E83CBE"/>
    <w:rsid w:val="280F198D"/>
    <w:rsid w:val="2826786A"/>
    <w:rsid w:val="28296784"/>
    <w:rsid w:val="284134BE"/>
    <w:rsid w:val="28484D23"/>
    <w:rsid w:val="28614048"/>
    <w:rsid w:val="28756FDC"/>
    <w:rsid w:val="28AF39E2"/>
    <w:rsid w:val="28D41DCF"/>
    <w:rsid w:val="28DD7318"/>
    <w:rsid w:val="28DE34DA"/>
    <w:rsid w:val="28EB69E2"/>
    <w:rsid w:val="28EF75C1"/>
    <w:rsid w:val="290E4578"/>
    <w:rsid w:val="2923164B"/>
    <w:rsid w:val="29522DC0"/>
    <w:rsid w:val="295A6CD5"/>
    <w:rsid w:val="297E0FEC"/>
    <w:rsid w:val="298A78EE"/>
    <w:rsid w:val="299A47BF"/>
    <w:rsid w:val="29A17275"/>
    <w:rsid w:val="29CB183C"/>
    <w:rsid w:val="29CE1305"/>
    <w:rsid w:val="29DD5953"/>
    <w:rsid w:val="29EF248F"/>
    <w:rsid w:val="29F4491A"/>
    <w:rsid w:val="29FA05F6"/>
    <w:rsid w:val="2A097CE9"/>
    <w:rsid w:val="2A164D3D"/>
    <w:rsid w:val="2A2C4AB7"/>
    <w:rsid w:val="2A2D0303"/>
    <w:rsid w:val="2A6A6541"/>
    <w:rsid w:val="2AD57A03"/>
    <w:rsid w:val="2AED2C96"/>
    <w:rsid w:val="2B067292"/>
    <w:rsid w:val="2B083434"/>
    <w:rsid w:val="2B0D20DA"/>
    <w:rsid w:val="2B0D47E3"/>
    <w:rsid w:val="2B370791"/>
    <w:rsid w:val="2B397522"/>
    <w:rsid w:val="2B560258"/>
    <w:rsid w:val="2B6D295B"/>
    <w:rsid w:val="2B7846CB"/>
    <w:rsid w:val="2B7B7315"/>
    <w:rsid w:val="2B953CFD"/>
    <w:rsid w:val="2BCE25CA"/>
    <w:rsid w:val="2C5850B4"/>
    <w:rsid w:val="2C5F49F3"/>
    <w:rsid w:val="2C671FB9"/>
    <w:rsid w:val="2C680433"/>
    <w:rsid w:val="2C7A52AA"/>
    <w:rsid w:val="2CE007BF"/>
    <w:rsid w:val="2CEE49ED"/>
    <w:rsid w:val="2D044F9C"/>
    <w:rsid w:val="2D1867FE"/>
    <w:rsid w:val="2D4C2807"/>
    <w:rsid w:val="2D4F54F0"/>
    <w:rsid w:val="2D606062"/>
    <w:rsid w:val="2D735B62"/>
    <w:rsid w:val="2D7A4C74"/>
    <w:rsid w:val="2D841FFB"/>
    <w:rsid w:val="2D9E37AF"/>
    <w:rsid w:val="2DE643F7"/>
    <w:rsid w:val="2DF84C4F"/>
    <w:rsid w:val="2DFB12A5"/>
    <w:rsid w:val="2E0238FB"/>
    <w:rsid w:val="2E111651"/>
    <w:rsid w:val="2E172CBD"/>
    <w:rsid w:val="2E413130"/>
    <w:rsid w:val="2E4B52E4"/>
    <w:rsid w:val="2E64109A"/>
    <w:rsid w:val="2E682BB9"/>
    <w:rsid w:val="2E937D9B"/>
    <w:rsid w:val="2EC00322"/>
    <w:rsid w:val="2ECE451A"/>
    <w:rsid w:val="2ED45930"/>
    <w:rsid w:val="2EED2C0F"/>
    <w:rsid w:val="2EEF17B9"/>
    <w:rsid w:val="2EF42237"/>
    <w:rsid w:val="2F275BF8"/>
    <w:rsid w:val="2F5B1130"/>
    <w:rsid w:val="2F5B71BC"/>
    <w:rsid w:val="2F611E18"/>
    <w:rsid w:val="2F74467B"/>
    <w:rsid w:val="2F966BBD"/>
    <w:rsid w:val="2FD64524"/>
    <w:rsid w:val="30157710"/>
    <w:rsid w:val="302449F8"/>
    <w:rsid w:val="304B053B"/>
    <w:rsid w:val="304F25B5"/>
    <w:rsid w:val="30715AF9"/>
    <w:rsid w:val="307D2FCF"/>
    <w:rsid w:val="30882A99"/>
    <w:rsid w:val="308C77EB"/>
    <w:rsid w:val="3091539C"/>
    <w:rsid w:val="30B66ABA"/>
    <w:rsid w:val="30F10DC1"/>
    <w:rsid w:val="311E66E5"/>
    <w:rsid w:val="31255B41"/>
    <w:rsid w:val="315A09D9"/>
    <w:rsid w:val="31673284"/>
    <w:rsid w:val="31AD6175"/>
    <w:rsid w:val="31BE4AB9"/>
    <w:rsid w:val="31C15EC1"/>
    <w:rsid w:val="31EE00FF"/>
    <w:rsid w:val="320D6AD7"/>
    <w:rsid w:val="323E6623"/>
    <w:rsid w:val="32471506"/>
    <w:rsid w:val="324F0402"/>
    <w:rsid w:val="325C58BB"/>
    <w:rsid w:val="32970C1B"/>
    <w:rsid w:val="32A3666B"/>
    <w:rsid w:val="32BF1CBE"/>
    <w:rsid w:val="32C709A9"/>
    <w:rsid w:val="32D06AF1"/>
    <w:rsid w:val="32E67567"/>
    <w:rsid w:val="32F76808"/>
    <w:rsid w:val="332C79AB"/>
    <w:rsid w:val="334207C9"/>
    <w:rsid w:val="33657B61"/>
    <w:rsid w:val="339F3075"/>
    <w:rsid w:val="33B04DF3"/>
    <w:rsid w:val="33B10D5A"/>
    <w:rsid w:val="33D97032"/>
    <w:rsid w:val="33DF1809"/>
    <w:rsid w:val="33E517A7"/>
    <w:rsid w:val="33F2246C"/>
    <w:rsid w:val="33F500EE"/>
    <w:rsid w:val="33FF194C"/>
    <w:rsid w:val="34064122"/>
    <w:rsid w:val="34324ED9"/>
    <w:rsid w:val="344A63AB"/>
    <w:rsid w:val="344D2913"/>
    <w:rsid w:val="346B4380"/>
    <w:rsid w:val="347B6A55"/>
    <w:rsid w:val="3481262E"/>
    <w:rsid w:val="34A24B6D"/>
    <w:rsid w:val="34AD7EAE"/>
    <w:rsid w:val="34C02436"/>
    <w:rsid w:val="34EF4E6A"/>
    <w:rsid w:val="34FE40C0"/>
    <w:rsid w:val="34FE73B2"/>
    <w:rsid w:val="350367C3"/>
    <w:rsid w:val="350703A6"/>
    <w:rsid w:val="35085C43"/>
    <w:rsid w:val="3509254D"/>
    <w:rsid w:val="350C0CF1"/>
    <w:rsid w:val="352C3531"/>
    <w:rsid w:val="353167F3"/>
    <w:rsid w:val="35500C20"/>
    <w:rsid w:val="356F2A4B"/>
    <w:rsid w:val="35A408A3"/>
    <w:rsid w:val="35BC7AD0"/>
    <w:rsid w:val="361543C6"/>
    <w:rsid w:val="36507014"/>
    <w:rsid w:val="36507C5E"/>
    <w:rsid w:val="366B060A"/>
    <w:rsid w:val="36857C4F"/>
    <w:rsid w:val="368B724E"/>
    <w:rsid w:val="36B330AA"/>
    <w:rsid w:val="36B80F1D"/>
    <w:rsid w:val="36EE1D00"/>
    <w:rsid w:val="36EE430B"/>
    <w:rsid w:val="372B2F3D"/>
    <w:rsid w:val="372C6246"/>
    <w:rsid w:val="37532015"/>
    <w:rsid w:val="3758738E"/>
    <w:rsid w:val="378965D3"/>
    <w:rsid w:val="379C1E1C"/>
    <w:rsid w:val="379E164B"/>
    <w:rsid w:val="37BB4002"/>
    <w:rsid w:val="37BE1287"/>
    <w:rsid w:val="37BF7767"/>
    <w:rsid w:val="37C05C1C"/>
    <w:rsid w:val="37C6276C"/>
    <w:rsid w:val="38063B02"/>
    <w:rsid w:val="381503FB"/>
    <w:rsid w:val="383254EE"/>
    <w:rsid w:val="385F5430"/>
    <w:rsid w:val="38876FAD"/>
    <w:rsid w:val="389067CA"/>
    <w:rsid w:val="389767D4"/>
    <w:rsid w:val="38C425FC"/>
    <w:rsid w:val="38DC6BBE"/>
    <w:rsid w:val="38E04C84"/>
    <w:rsid w:val="39013630"/>
    <w:rsid w:val="39191E31"/>
    <w:rsid w:val="391926E1"/>
    <w:rsid w:val="392F47AF"/>
    <w:rsid w:val="39302552"/>
    <w:rsid w:val="3936127A"/>
    <w:rsid w:val="393869FA"/>
    <w:rsid w:val="39666289"/>
    <w:rsid w:val="396902AF"/>
    <w:rsid w:val="39745A6F"/>
    <w:rsid w:val="39800FD0"/>
    <w:rsid w:val="398A7750"/>
    <w:rsid w:val="398B054A"/>
    <w:rsid w:val="399E6D8D"/>
    <w:rsid w:val="39ED5C2A"/>
    <w:rsid w:val="39EE4FFE"/>
    <w:rsid w:val="39EF20DB"/>
    <w:rsid w:val="39F26846"/>
    <w:rsid w:val="3A0C2790"/>
    <w:rsid w:val="3A1553A4"/>
    <w:rsid w:val="3A2E49FC"/>
    <w:rsid w:val="3A557546"/>
    <w:rsid w:val="3A5F3DED"/>
    <w:rsid w:val="3A733FF3"/>
    <w:rsid w:val="3A7D06E8"/>
    <w:rsid w:val="3A8D1DBF"/>
    <w:rsid w:val="3A974A25"/>
    <w:rsid w:val="3AC26BF0"/>
    <w:rsid w:val="3AC5098F"/>
    <w:rsid w:val="3AEC7F75"/>
    <w:rsid w:val="3B0567A3"/>
    <w:rsid w:val="3B180D8E"/>
    <w:rsid w:val="3B24671E"/>
    <w:rsid w:val="3B4853B2"/>
    <w:rsid w:val="3B6A1EA0"/>
    <w:rsid w:val="3B7053AB"/>
    <w:rsid w:val="3BF86CC5"/>
    <w:rsid w:val="3C0632AA"/>
    <w:rsid w:val="3C164071"/>
    <w:rsid w:val="3C1C6627"/>
    <w:rsid w:val="3C302D10"/>
    <w:rsid w:val="3C3411A1"/>
    <w:rsid w:val="3C3835CB"/>
    <w:rsid w:val="3CBC5CA9"/>
    <w:rsid w:val="3CC57AE3"/>
    <w:rsid w:val="3CDD2F88"/>
    <w:rsid w:val="3CE33B3E"/>
    <w:rsid w:val="3CF40EF6"/>
    <w:rsid w:val="3CFE0857"/>
    <w:rsid w:val="3D1A5037"/>
    <w:rsid w:val="3D1A74F1"/>
    <w:rsid w:val="3D1C7337"/>
    <w:rsid w:val="3D4B17EA"/>
    <w:rsid w:val="3D715E26"/>
    <w:rsid w:val="3D820B03"/>
    <w:rsid w:val="3D844C52"/>
    <w:rsid w:val="3D9E767D"/>
    <w:rsid w:val="3DB724A6"/>
    <w:rsid w:val="3DBD08C1"/>
    <w:rsid w:val="3DC62470"/>
    <w:rsid w:val="3DC962FE"/>
    <w:rsid w:val="3DEB1AFF"/>
    <w:rsid w:val="3E0B5022"/>
    <w:rsid w:val="3E2923BB"/>
    <w:rsid w:val="3E697A9B"/>
    <w:rsid w:val="3E7D4E22"/>
    <w:rsid w:val="3E9B08E1"/>
    <w:rsid w:val="3EB17CAE"/>
    <w:rsid w:val="3EB501F1"/>
    <w:rsid w:val="3EB62DEC"/>
    <w:rsid w:val="3EB95C14"/>
    <w:rsid w:val="3EBE2FEF"/>
    <w:rsid w:val="3EF6456B"/>
    <w:rsid w:val="3EFC273A"/>
    <w:rsid w:val="3F4A5784"/>
    <w:rsid w:val="3F563258"/>
    <w:rsid w:val="3F5D0080"/>
    <w:rsid w:val="3F6F1212"/>
    <w:rsid w:val="3F894431"/>
    <w:rsid w:val="3F993F5F"/>
    <w:rsid w:val="3FAC6D14"/>
    <w:rsid w:val="3FB000CA"/>
    <w:rsid w:val="3FC44894"/>
    <w:rsid w:val="3FDF7F92"/>
    <w:rsid w:val="3FE354D1"/>
    <w:rsid w:val="3FE37E9C"/>
    <w:rsid w:val="40013902"/>
    <w:rsid w:val="40073278"/>
    <w:rsid w:val="40127DEF"/>
    <w:rsid w:val="4030622E"/>
    <w:rsid w:val="4041366A"/>
    <w:rsid w:val="406B53E0"/>
    <w:rsid w:val="40A00244"/>
    <w:rsid w:val="40A14230"/>
    <w:rsid w:val="40AA6DCC"/>
    <w:rsid w:val="40AB0281"/>
    <w:rsid w:val="40AD44E9"/>
    <w:rsid w:val="40CE5911"/>
    <w:rsid w:val="40E64AF8"/>
    <w:rsid w:val="40F958E6"/>
    <w:rsid w:val="4101455B"/>
    <w:rsid w:val="41021EE5"/>
    <w:rsid w:val="411D57FA"/>
    <w:rsid w:val="411D7E3A"/>
    <w:rsid w:val="413146CA"/>
    <w:rsid w:val="414B428B"/>
    <w:rsid w:val="416113EB"/>
    <w:rsid w:val="41754058"/>
    <w:rsid w:val="41767892"/>
    <w:rsid w:val="41A41BBA"/>
    <w:rsid w:val="41A71B5B"/>
    <w:rsid w:val="41E70837"/>
    <w:rsid w:val="41F24B40"/>
    <w:rsid w:val="420D5DF7"/>
    <w:rsid w:val="42370DFC"/>
    <w:rsid w:val="423A2E72"/>
    <w:rsid w:val="423E5102"/>
    <w:rsid w:val="42411516"/>
    <w:rsid w:val="42460CA9"/>
    <w:rsid w:val="426B2B17"/>
    <w:rsid w:val="426B2B98"/>
    <w:rsid w:val="426C524A"/>
    <w:rsid w:val="42713E4F"/>
    <w:rsid w:val="428744C2"/>
    <w:rsid w:val="42921107"/>
    <w:rsid w:val="42940874"/>
    <w:rsid w:val="429F1E7D"/>
    <w:rsid w:val="42C37652"/>
    <w:rsid w:val="42FC7716"/>
    <w:rsid w:val="434E4939"/>
    <w:rsid w:val="43620D8C"/>
    <w:rsid w:val="436B3F87"/>
    <w:rsid w:val="4375745E"/>
    <w:rsid w:val="439A0903"/>
    <w:rsid w:val="43A30478"/>
    <w:rsid w:val="43B86BB7"/>
    <w:rsid w:val="43C40C02"/>
    <w:rsid w:val="43CD0ADA"/>
    <w:rsid w:val="43D26A56"/>
    <w:rsid w:val="43E75FE6"/>
    <w:rsid w:val="43FE3F99"/>
    <w:rsid w:val="44084503"/>
    <w:rsid w:val="44114155"/>
    <w:rsid w:val="441E4F52"/>
    <w:rsid w:val="44235DA3"/>
    <w:rsid w:val="44312448"/>
    <w:rsid w:val="44456CEF"/>
    <w:rsid w:val="444E0535"/>
    <w:rsid w:val="444F491F"/>
    <w:rsid w:val="44613DC9"/>
    <w:rsid w:val="44815468"/>
    <w:rsid w:val="44AA0031"/>
    <w:rsid w:val="44AC65FD"/>
    <w:rsid w:val="44B6643F"/>
    <w:rsid w:val="44B96784"/>
    <w:rsid w:val="44C44FC6"/>
    <w:rsid w:val="44D02189"/>
    <w:rsid w:val="44D244C4"/>
    <w:rsid w:val="45051E49"/>
    <w:rsid w:val="45071F22"/>
    <w:rsid w:val="4519166F"/>
    <w:rsid w:val="455D758F"/>
    <w:rsid w:val="456A66B2"/>
    <w:rsid w:val="457B6F75"/>
    <w:rsid w:val="45877519"/>
    <w:rsid w:val="458A411F"/>
    <w:rsid w:val="459255CF"/>
    <w:rsid w:val="45A7335C"/>
    <w:rsid w:val="45B07E84"/>
    <w:rsid w:val="45D07AE3"/>
    <w:rsid w:val="45E93071"/>
    <w:rsid w:val="45F004AD"/>
    <w:rsid w:val="46072B41"/>
    <w:rsid w:val="465C0417"/>
    <w:rsid w:val="466B3E8A"/>
    <w:rsid w:val="46751325"/>
    <w:rsid w:val="46861869"/>
    <w:rsid w:val="46AC12C8"/>
    <w:rsid w:val="46AD51A6"/>
    <w:rsid w:val="46B73206"/>
    <w:rsid w:val="46CC11F6"/>
    <w:rsid w:val="46D13660"/>
    <w:rsid w:val="46E90F1E"/>
    <w:rsid w:val="46F969E4"/>
    <w:rsid w:val="47006152"/>
    <w:rsid w:val="470C65D5"/>
    <w:rsid w:val="472C506A"/>
    <w:rsid w:val="474431AF"/>
    <w:rsid w:val="476B1EED"/>
    <w:rsid w:val="47740D0B"/>
    <w:rsid w:val="47DD26C9"/>
    <w:rsid w:val="47EC1BD7"/>
    <w:rsid w:val="47EF0D65"/>
    <w:rsid w:val="47FB6718"/>
    <w:rsid w:val="48023381"/>
    <w:rsid w:val="48101B2A"/>
    <w:rsid w:val="483974D3"/>
    <w:rsid w:val="485E029B"/>
    <w:rsid w:val="485E3E5D"/>
    <w:rsid w:val="48652B0B"/>
    <w:rsid w:val="4870223D"/>
    <w:rsid w:val="48A961FC"/>
    <w:rsid w:val="48CD1953"/>
    <w:rsid w:val="48DE1BA3"/>
    <w:rsid w:val="48F50141"/>
    <w:rsid w:val="48FD7EF0"/>
    <w:rsid w:val="49032795"/>
    <w:rsid w:val="490862B3"/>
    <w:rsid w:val="490F7422"/>
    <w:rsid w:val="492605CD"/>
    <w:rsid w:val="4975039F"/>
    <w:rsid w:val="499862C8"/>
    <w:rsid w:val="49A30283"/>
    <w:rsid w:val="49C83D17"/>
    <w:rsid w:val="49D02D7A"/>
    <w:rsid w:val="49D57373"/>
    <w:rsid w:val="49D97797"/>
    <w:rsid w:val="49E23D52"/>
    <w:rsid w:val="4A0F0C80"/>
    <w:rsid w:val="4A184EB2"/>
    <w:rsid w:val="4A8448A1"/>
    <w:rsid w:val="4A88460B"/>
    <w:rsid w:val="4A906E94"/>
    <w:rsid w:val="4AB14864"/>
    <w:rsid w:val="4ABA78EF"/>
    <w:rsid w:val="4AEF1456"/>
    <w:rsid w:val="4B050619"/>
    <w:rsid w:val="4B242FF6"/>
    <w:rsid w:val="4B2E5BAF"/>
    <w:rsid w:val="4B455A7C"/>
    <w:rsid w:val="4B506CA3"/>
    <w:rsid w:val="4B5F3743"/>
    <w:rsid w:val="4B631D3F"/>
    <w:rsid w:val="4B6918C7"/>
    <w:rsid w:val="4B77731F"/>
    <w:rsid w:val="4B7C210B"/>
    <w:rsid w:val="4B8F6282"/>
    <w:rsid w:val="4B9D0C0E"/>
    <w:rsid w:val="4BB50D67"/>
    <w:rsid w:val="4BFC3691"/>
    <w:rsid w:val="4BFE3E10"/>
    <w:rsid w:val="4C0A1AF4"/>
    <w:rsid w:val="4C2957C8"/>
    <w:rsid w:val="4C387E83"/>
    <w:rsid w:val="4C3C6BF3"/>
    <w:rsid w:val="4C46077F"/>
    <w:rsid w:val="4C7F135E"/>
    <w:rsid w:val="4CD62C89"/>
    <w:rsid w:val="4CF827AA"/>
    <w:rsid w:val="4D0F2077"/>
    <w:rsid w:val="4D2B11B7"/>
    <w:rsid w:val="4D2F7430"/>
    <w:rsid w:val="4D4F477A"/>
    <w:rsid w:val="4D682932"/>
    <w:rsid w:val="4DC1683E"/>
    <w:rsid w:val="4DD11A96"/>
    <w:rsid w:val="4DF97DE0"/>
    <w:rsid w:val="4DFB77CD"/>
    <w:rsid w:val="4E012D8D"/>
    <w:rsid w:val="4E0853AB"/>
    <w:rsid w:val="4E160F0C"/>
    <w:rsid w:val="4E3444E0"/>
    <w:rsid w:val="4E414C62"/>
    <w:rsid w:val="4E575AEF"/>
    <w:rsid w:val="4E6B6C18"/>
    <w:rsid w:val="4E6C4EE8"/>
    <w:rsid w:val="4E7F7B2E"/>
    <w:rsid w:val="4E847061"/>
    <w:rsid w:val="4E8C2323"/>
    <w:rsid w:val="4E9053D2"/>
    <w:rsid w:val="4E9953C4"/>
    <w:rsid w:val="4EB02D50"/>
    <w:rsid w:val="4ED75F06"/>
    <w:rsid w:val="4F290097"/>
    <w:rsid w:val="4F2B3092"/>
    <w:rsid w:val="4F2E5440"/>
    <w:rsid w:val="4F5F2433"/>
    <w:rsid w:val="4F5F30F2"/>
    <w:rsid w:val="4F7E19A7"/>
    <w:rsid w:val="4F8878B4"/>
    <w:rsid w:val="4F994DF8"/>
    <w:rsid w:val="4FA62673"/>
    <w:rsid w:val="4FD41139"/>
    <w:rsid w:val="4FD6293E"/>
    <w:rsid w:val="4FE779BF"/>
    <w:rsid w:val="4FF73140"/>
    <w:rsid w:val="50010D46"/>
    <w:rsid w:val="50240E0B"/>
    <w:rsid w:val="504C0627"/>
    <w:rsid w:val="505A222A"/>
    <w:rsid w:val="506778F1"/>
    <w:rsid w:val="50826B54"/>
    <w:rsid w:val="508A4682"/>
    <w:rsid w:val="50C13363"/>
    <w:rsid w:val="50C35E53"/>
    <w:rsid w:val="50F63EA7"/>
    <w:rsid w:val="51054BFF"/>
    <w:rsid w:val="5125024E"/>
    <w:rsid w:val="51333D91"/>
    <w:rsid w:val="51496F8D"/>
    <w:rsid w:val="516129E7"/>
    <w:rsid w:val="518F0C51"/>
    <w:rsid w:val="51926260"/>
    <w:rsid w:val="5194229B"/>
    <w:rsid w:val="519B20AA"/>
    <w:rsid w:val="519C58DC"/>
    <w:rsid w:val="519D0DF9"/>
    <w:rsid w:val="51A71695"/>
    <w:rsid w:val="51B92D16"/>
    <w:rsid w:val="51D83FD6"/>
    <w:rsid w:val="51DD03DE"/>
    <w:rsid w:val="51FB0A90"/>
    <w:rsid w:val="52155A44"/>
    <w:rsid w:val="521A7D08"/>
    <w:rsid w:val="522E0D9A"/>
    <w:rsid w:val="52346E3B"/>
    <w:rsid w:val="523E6F35"/>
    <w:rsid w:val="52527A10"/>
    <w:rsid w:val="527D6162"/>
    <w:rsid w:val="52851406"/>
    <w:rsid w:val="52907B39"/>
    <w:rsid w:val="529113A9"/>
    <w:rsid w:val="53253A6D"/>
    <w:rsid w:val="539807BE"/>
    <w:rsid w:val="53A02FA9"/>
    <w:rsid w:val="53AD6EBD"/>
    <w:rsid w:val="540F324C"/>
    <w:rsid w:val="545D6CB5"/>
    <w:rsid w:val="54671031"/>
    <w:rsid w:val="547409C1"/>
    <w:rsid w:val="54A006A9"/>
    <w:rsid w:val="54AA29C8"/>
    <w:rsid w:val="54AC16D7"/>
    <w:rsid w:val="54B27D2C"/>
    <w:rsid w:val="54B90B86"/>
    <w:rsid w:val="54EB26B7"/>
    <w:rsid w:val="54F110FD"/>
    <w:rsid w:val="550E6B19"/>
    <w:rsid w:val="552406A7"/>
    <w:rsid w:val="553D528D"/>
    <w:rsid w:val="55595300"/>
    <w:rsid w:val="555A20AC"/>
    <w:rsid w:val="55943236"/>
    <w:rsid w:val="55CA6EB8"/>
    <w:rsid w:val="562D7C25"/>
    <w:rsid w:val="563E0D87"/>
    <w:rsid w:val="56441648"/>
    <w:rsid w:val="565E731B"/>
    <w:rsid w:val="56A359CC"/>
    <w:rsid w:val="56CC53B9"/>
    <w:rsid w:val="56D010DD"/>
    <w:rsid w:val="56D9419E"/>
    <w:rsid w:val="56DF0C27"/>
    <w:rsid w:val="56F97A3D"/>
    <w:rsid w:val="57112F1F"/>
    <w:rsid w:val="57214626"/>
    <w:rsid w:val="572F2920"/>
    <w:rsid w:val="573013BD"/>
    <w:rsid w:val="57311CDA"/>
    <w:rsid w:val="57316C67"/>
    <w:rsid w:val="573A7EAE"/>
    <w:rsid w:val="578D5E87"/>
    <w:rsid w:val="579A4B0E"/>
    <w:rsid w:val="57C9587D"/>
    <w:rsid w:val="57D55AAB"/>
    <w:rsid w:val="57DB358C"/>
    <w:rsid w:val="57DB5C9A"/>
    <w:rsid w:val="57E86744"/>
    <w:rsid w:val="57FD7D9E"/>
    <w:rsid w:val="5802442D"/>
    <w:rsid w:val="584538FF"/>
    <w:rsid w:val="58536E43"/>
    <w:rsid w:val="585D2D81"/>
    <w:rsid w:val="5871176A"/>
    <w:rsid w:val="58902D95"/>
    <w:rsid w:val="58DB4C69"/>
    <w:rsid w:val="58E361F2"/>
    <w:rsid w:val="58FD2F9C"/>
    <w:rsid w:val="593F56C1"/>
    <w:rsid w:val="594F1060"/>
    <w:rsid w:val="59534CE4"/>
    <w:rsid w:val="59597444"/>
    <w:rsid w:val="59597E91"/>
    <w:rsid w:val="595D33B8"/>
    <w:rsid w:val="59693F27"/>
    <w:rsid w:val="59863353"/>
    <w:rsid w:val="59B80196"/>
    <w:rsid w:val="59D33680"/>
    <w:rsid w:val="59F71BB2"/>
    <w:rsid w:val="5A1703EE"/>
    <w:rsid w:val="5A1F0B58"/>
    <w:rsid w:val="5A336F3F"/>
    <w:rsid w:val="5A3C4033"/>
    <w:rsid w:val="5A4438FE"/>
    <w:rsid w:val="5A4C2925"/>
    <w:rsid w:val="5A651037"/>
    <w:rsid w:val="5A751D6B"/>
    <w:rsid w:val="5A863668"/>
    <w:rsid w:val="5A907D94"/>
    <w:rsid w:val="5AB4161F"/>
    <w:rsid w:val="5AEB4C85"/>
    <w:rsid w:val="5B0762A0"/>
    <w:rsid w:val="5B2E0269"/>
    <w:rsid w:val="5B574BF8"/>
    <w:rsid w:val="5B7766CE"/>
    <w:rsid w:val="5B8D5606"/>
    <w:rsid w:val="5BA377C4"/>
    <w:rsid w:val="5BAE147A"/>
    <w:rsid w:val="5BEB7643"/>
    <w:rsid w:val="5C0E7C56"/>
    <w:rsid w:val="5C3D456C"/>
    <w:rsid w:val="5C483E61"/>
    <w:rsid w:val="5C4A5092"/>
    <w:rsid w:val="5C6C324E"/>
    <w:rsid w:val="5C883753"/>
    <w:rsid w:val="5C89358B"/>
    <w:rsid w:val="5CBC4F91"/>
    <w:rsid w:val="5CBE406B"/>
    <w:rsid w:val="5CD1241B"/>
    <w:rsid w:val="5CD64FF9"/>
    <w:rsid w:val="5CDD2C1A"/>
    <w:rsid w:val="5D120D82"/>
    <w:rsid w:val="5D404AB6"/>
    <w:rsid w:val="5D730FF5"/>
    <w:rsid w:val="5D915FD3"/>
    <w:rsid w:val="5D966F82"/>
    <w:rsid w:val="5DAD0450"/>
    <w:rsid w:val="5DBE6373"/>
    <w:rsid w:val="5DC63779"/>
    <w:rsid w:val="5DF54AB8"/>
    <w:rsid w:val="5E2B3EBA"/>
    <w:rsid w:val="5E2D37CC"/>
    <w:rsid w:val="5E404E06"/>
    <w:rsid w:val="5E497702"/>
    <w:rsid w:val="5E68122B"/>
    <w:rsid w:val="5E7C3EA4"/>
    <w:rsid w:val="5E9A754A"/>
    <w:rsid w:val="5EB02BBF"/>
    <w:rsid w:val="5EC1099C"/>
    <w:rsid w:val="5EDC15C6"/>
    <w:rsid w:val="5EE474AD"/>
    <w:rsid w:val="5F065AF5"/>
    <w:rsid w:val="5F1C2CF2"/>
    <w:rsid w:val="5F567B95"/>
    <w:rsid w:val="5F59782E"/>
    <w:rsid w:val="5F5E73FB"/>
    <w:rsid w:val="5F6F0CCB"/>
    <w:rsid w:val="5F867351"/>
    <w:rsid w:val="5FA42567"/>
    <w:rsid w:val="60125D5D"/>
    <w:rsid w:val="603E151E"/>
    <w:rsid w:val="60545B27"/>
    <w:rsid w:val="606579FC"/>
    <w:rsid w:val="606C3912"/>
    <w:rsid w:val="606F5647"/>
    <w:rsid w:val="6070255E"/>
    <w:rsid w:val="60B90F64"/>
    <w:rsid w:val="61093CE6"/>
    <w:rsid w:val="613421AC"/>
    <w:rsid w:val="61625113"/>
    <w:rsid w:val="61713AA2"/>
    <w:rsid w:val="61772355"/>
    <w:rsid w:val="618546E2"/>
    <w:rsid w:val="618775F2"/>
    <w:rsid w:val="61881F82"/>
    <w:rsid w:val="61A8675A"/>
    <w:rsid w:val="61A8772C"/>
    <w:rsid w:val="61BF78BE"/>
    <w:rsid w:val="61C34759"/>
    <w:rsid w:val="61D4271F"/>
    <w:rsid w:val="621C683A"/>
    <w:rsid w:val="625626A4"/>
    <w:rsid w:val="62612DEE"/>
    <w:rsid w:val="6263030D"/>
    <w:rsid w:val="62747686"/>
    <w:rsid w:val="628C548F"/>
    <w:rsid w:val="62A71ADC"/>
    <w:rsid w:val="62AD60B0"/>
    <w:rsid w:val="62BF5606"/>
    <w:rsid w:val="62C306B2"/>
    <w:rsid w:val="62D91D7E"/>
    <w:rsid w:val="62FB72AA"/>
    <w:rsid w:val="63036DD3"/>
    <w:rsid w:val="6317183B"/>
    <w:rsid w:val="631A3C5C"/>
    <w:rsid w:val="632B1FFB"/>
    <w:rsid w:val="6331260A"/>
    <w:rsid w:val="63357188"/>
    <w:rsid w:val="633D2268"/>
    <w:rsid w:val="635508CF"/>
    <w:rsid w:val="63876923"/>
    <w:rsid w:val="638D6346"/>
    <w:rsid w:val="63B96321"/>
    <w:rsid w:val="63BA6BFA"/>
    <w:rsid w:val="63D819AE"/>
    <w:rsid w:val="63DD3016"/>
    <w:rsid w:val="63F022FA"/>
    <w:rsid w:val="63F363FD"/>
    <w:rsid w:val="64017842"/>
    <w:rsid w:val="645906F8"/>
    <w:rsid w:val="64621B1B"/>
    <w:rsid w:val="64942B45"/>
    <w:rsid w:val="64C54A22"/>
    <w:rsid w:val="64E07C25"/>
    <w:rsid w:val="64E2564C"/>
    <w:rsid w:val="64F924C4"/>
    <w:rsid w:val="650962D0"/>
    <w:rsid w:val="6517105A"/>
    <w:rsid w:val="654E2730"/>
    <w:rsid w:val="659A5EE5"/>
    <w:rsid w:val="65D00D55"/>
    <w:rsid w:val="65E4718D"/>
    <w:rsid w:val="66043979"/>
    <w:rsid w:val="662413F7"/>
    <w:rsid w:val="66356A96"/>
    <w:rsid w:val="66471B33"/>
    <w:rsid w:val="664E7360"/>
    <w:rsid w:val="6650002A"/>
    <w:rsid w:val="666F01D4"/>
    <w:rsid w:val="66831993"/>
    <w:rsid w:val="66926E47"/>
    <w:rsid w:val="66B27C1C"/>
    <w:rsid w:val="66B47937"/>
    <w:rsid w:val="66D96239"/>
    <w:rsid w:val="670339F3"/>
    <w:rsid w:val="6707149E"/>
    <w:rsid w:val="67180FF5"/>
    <w:rsid w:val="673B23F0"/>
    <w:rsid w:val="67542B52"/>
    <w:rsid w:val="676521C1"/>
    <w:rsid w:val="676558C4"/>
    <w:rsid w:val="678F33E5"/>
    <w:rsid w:val="67BD02EE"/>
    <w:rsid w:val="67C17C97"/>
    <w:rsid w:val="67CB037A"/>
    <w:rsid w:val="67E11A28"/>
    <w:rsid w:val="68157D69"/>
    <w:rsid w:val="68251211"/>
    <w:rsid w:val="684B4A47"/>
    <w:rsid w:val="68921092"/>
    <w:rsid w:val="68E55053"/>
    <w:rsid w:val="68FC298E"/>
    <w:rsid w:val="69067890"/>
    <w:rsid w:val="692635A6"/>
    <w:rsid w:val="692B3C18"/>
    <w:rsid w:val="69317458"/>
    <w:rsid w:val="693A648D"/>
    <w:rsid w:val="6955195D"/>
    <w:rsid w:val="69703964"/>
    <w:rsid w:val="69DA6669"/>
    <w:rsid w:val="69EF0DB7"/>
    <w:rsid w:val="6A380D7E"/>
    <w:rsid w:val="6A4B2BB1"/>
    <w:rsid w:val="6A4D2F1F"/>
    <w:rsid w:val="6A4E577A"/>
    <w:rsid w:val="6AA30C76"/>
    <w:rsid w:val="6AA76305"/>
    <w:rsid w:val="6ABF66E8"/>
    <w:rsid w:val="6AC04D4F"/>
    <w:rsid w:val="6B1E2B98"/>
    <w:rsid w:val="6B477893"/>
    <w:rsid w:val="6B8C34D4"/>
    <w:rsid w:val="6B926B0F"/>
    <w:rsid w:val="6B9E2D47"/>
    <w:rsid w:val="6BDB0087"/>
    <w:rsid w:val="6BDF4F75"/>
    <w:rsid w:val="6BFA5B24"/>
    <w:rsid w:val="6C1B39E6"/>
    <w:rsid w:val="6C210B1E"/>
    <w:rsid w:val="6C3122A9"/>
    <w:rsid w:val="6C475A42"/>
    <w:rsid w:val="6C663534"/>
    <w:rsid w:val="6C891E30"/>
    <w:rsid w:val="6CBD44E2"/>
    <w:rsid w:val="6CD0655F"/>
    <w:rsid w:val="6CF633B5"/>
    <w:rsid w:val="6CFE2E2D"/>
    <w:rsid w:val="6D451556"/>
    <w:rsid w:val="6D470BC9"/>
    <w:rsid w:val="6D5E2DBF"/>
    <w:rsid w:val="6D630AB2"/>
    <w:rsid w:val="6D8F2360"/>
    <w:rsid w:val="6DAF711F"/>
    <w:rsid w:val="6DB275A7"/>
    <w:rsid w:val="6DB539EB"/>
    <w:rsid w:val="6DBF2EFC"/>
    <w:rsid w:val="6DCE4E8E"/>
    <w:rsid w:val="6DE05A55"/>
    <w:rsid w:val="6DE14052"/>
    <w:rsid w:val="6DE27759"/>
    <w:rsid w:val="6DF61445"/>
    <w:rsid w:val="6DFB4798"/>
    <w:rsid w:val="6E01104A"/>
    <w:rsid w:val="6E41743A"/>
    <w:rsid w:val="6E45209B"/>
    <w:rsid w:val="6E672A86"/>
    <w:rsid w:val="6E7070DE"/>
    <w:rsid w:val="6E7A6E1D"/>
    <w:rsid w:val="6E8F75C3"/>
    <w:rsid w:val="6E9D24DF"/>
    <w:rsid w:val="6EA20943"/>
    <w:rsid w:val="6EAF22F2"/>
    <w:rsid w:val="6ED77771"/>
    <w:rsid w:val="6EF42E7F"/>
    <w:rsid w:val="6F1D5AB5"/>
    <w:rsid w:val="6F2728DE"/>
    <w:rsid w:val="6F503697"/>
    <w:rsid w:val="6F547547"/>
    <w:rsid w:val="6F7E5BD0"/>
    <w:rsid w:val="6F8D6D36"/>
    <w:rsid w:val="6FAA3AC6"/>
    <w:rsid w:val="6FAC6C5B"/>
    <w:rsid w:val="6FCC4025"/>
    <w:rsid w:val="6FD357E5"/>
    <w:rsid w:val="6FDC6313"/>
    <w:rsid w:val="705B2C6E"/>
    <w:rsid w:val="706F3056"/>
    <w:rsid w:val="70774C41"/>
    <w:rsid w:val="709D7E0E"/>
    <w:rsid w:val="709E2B93"/>
    <w:rsid w:val="70A25BF7"/>
    <w:rsid w:val="70B147BB"/>
    <w:rsid w:val="70B46092"/>
    <w:rsid w:val="70CB11C8"/>
    <w:rsid w:val="70D64A3D"/>
    <w:rsid w:val="7123040C"/>
    <w:rsid w:val="71237556"/>
    <w:rsid w:val="712E5E74"/>
    <w:rsid w:val="71363001"/>
    <w:rsid w:val="715C1F7A"/>
    <w:rsid w:val="717E6202"/>
    <w:rsid w:val="718F589C"/>
    <w:rsid w:val="7196293F"/>
    <w:rsid w:val="71A502A7"/>
    <w:rsid w:val="71A57EFA"/>
    <w:rsid w:val="71B33AD3"/>
    <w:rsid w:val="71CF4A9D"/>
    <w:rsid w:val="72324AF8"/>
    <w:rsid w:val="7239190C"/>
    <w:rsid w:val="72676560"/>
    <w:rsid w:val="727135FE"/>
    <w:rsid w:val="728454FD"/>
    <w:rsid w:val="728A4026"/>
    <w:rsid w:val="728A590F"/>
    <w:rsid w:val="72DC19D4"/>
    <w:rsid w:val="7307312A"/>
    <w:rsid w:val="73204845"/>
    <w:rsid w:val="733B69D2"/>
    <w:rsid w:val="735519ED"/>
    <w:rsid w:val="73B32BED"/>
    <w:rsid w:val="73C844DD"/>
    <w:rsid w:val="73DD5021"/>
    <w:rsid w:val="73E21879"/>
    <w:rsid w:val="73E503C1"/>
    <w:rsid w:val="73E5257B"/>
    <w:rsid w:val="73FD16A2"/>
    <w:rsid w:val="74025DEF"/>
    <w:rsid w:val="7413155E"/>
    <w:rsid w:val="741C513A"/>
    <w:rsid w:val="74272855"/>
    <w:rsid w:val="74300C13"/>
    <w:rsid w:val="74717788"/>
    <w:rsid w:val="7475381D"/>
    <w:rsid w:val="747F5A76"/>
    <w:rsid w:val="748131CC"/>
    <w:rsid w:val="74863478"/>
    <w:rsid w:val="74CF1C57"/>
    <w:rsid w:val="74D50DC4"/>
    <w:rsid w:val="750660AC"/>
    <w:rsid w:val="750D3C94"/>
    <w:rsid w:val="755A47C1"/>
    <w:rsid w:val="756F7751"/>
    <w:rsid w:val="75817557"/>
    <w:rsid w:val="75946829"/>
    <w:rsid w:val="759C0B70"/>
    <w:rsid w:val="75AE2596"/>
    <w:rsid w:val="75BD54CC"/>
    <w:rsid w:val="75C64E42"/>
    <w:rsid w:val="75CA32EF"/>
    <w:rsid w:val="75CB31BF"/>
    <w:rsid w:val="762A556A"/>
    <w:rsid w:val="764D2BC0"/>
    <w:rsid w:val="76890B0F"/>
    <w:rsid w:val="76930A94"/>
    <w:rsid w:val="76B0076C"/>
    <w:rsid w:val="76B00A48"/>
    <w:rsid w:val="76B70DE4"/>
    <w:rsid w:val="76D52B5B"/>
    <w:rsid w:val="76F16B88"/>
    <w:rsid w:val="76F75284"/>
    <w:rsid w:val="771C4D34"/>
    <w:rsid w:val="773A54A0"/>
    <w:rsid w:val="7773736C"/>
    <w:rsid w:val="779937E0"/>
    <w:rsid w:val="77993968"/>
    <w:rsid w:val="77AA552E"/>
    <w:rsid w:val="77D47715"/>
    <w:rsid w:val="77FC6E00"/>
    <w:rsid w:val="78484913"/>
    <w:rsid w:val="78740C74"/>
    <w:rsid w:val="78A33A14"/>
    <w:rsid w:val="78B875B8"/>
    <w:rsid w:val="78B95140"/>
    <w:rsid w:val="78DF5DEB"/>
    <w:rsid w:val="78FD5EC1"/>
    <w:rsid w:val="790571DA"/>
    <w:rsid w:val="792D11DD"/>
    <w:rsid w:val="793C4110"/>
    <w:rsid w:val="79413436"/>
    <w:rsid w:val="79477DF8"/>
    <w:rsid w:val="795739AB"/>
    <w:rsid w:val="79877B6A"/>
    <w:rsid w:val="799A0DC3"/>
    <w:rsid w:val="799E7474"/>
    <w:rsid w:val="79C31B2D"/>
    <w:rsid w:val="7A1A7867"/>
    <w:rsid w:val="7A2D0984"/>
    <w:rsid w:val="7A4442E4"/>
    <w:rsid w:val="7A4B66E8"/>
    <w:rsid w:val="7A725719"/>
    <w:rsid w:val="7A980B56"/>
    <w:rsid w:val="7AAF198F"/>
    <w:rsid w:val="7ADA1FF5"/>
    <w:rsid w:val="7AEA7FC0"/>
    <w:rsid w:val="7AEF37E8"/>
    <w:rsid w:val="7AF8403F"/>
    <w:rsid w:val="7B0462B6"/>
    <w:rsid w:val="7B132950"/>
    <w:rsid w:val="7B147BB8"/>
    <w:rsid w:val="7B585A9B"/>
    <w:rsid w:val="7B6D12B0"/>
    <w:rsid w:val="7BAD3756"/>
    <w:rsid w:val="7BB1626D"/>
    <w:rsid w:val="7BBD1677"/>
    <w:rsid w:val="7BC47073"/>
    <w:rsid w:val="7BEA4B35"/>
    <w:rsid w:val="7C347BA6"/>
    <w:rsid w:val="7C385F6E"/>
    <w:rsid w:val="7CD1526C"/>
    <w:rsid w:val="7CD71A7D"/>
    <w:rsid w:val="7CE3624E"/>
    <w:rsid w:val="7D117DAB"/>
    <w:rsid w:val="7D284885"/>
    <w:rsid w:val="7D3E5AB7"/>
    <w:rsid w:val="7D4759C6"/>
    <w:rsid w:val="7D741C61"/>
    <w:rsid w:val="7D762119"/>
    <w:rsid w:val="7D9839EC"/>
    <w:rsid w:val="7DC81CAC"/>
    <w:rsid w:val="7DCF7A20"/>
    <w:rsid w:val="7DE8288C"/>
    <w:rsid w:val="7DEB07EA"/>
    <w:rsid w:val="7DEE42F0"/>
    <w:rsid w:val="7DFC3B43"/>
    <w:rsid w:val="7E3957E8"/>
    <w:rsid w:val="7E414B56"/>
    <w:rsid w:val="7E5424A7"/>
    <w:rsid w:val="7E5B778A"/>
    <w:rsid w:val="7E60735B"/>
    <w:rsid w:val="7E66231D"/>
    <w:rsid w:val="7E691598"/>
    <w:rsid w:val="7E835276"/>
    <w:rsid w:val="7E870AE3"/>
    <w:rsid w:val="7ED907B8"/>
    <w:rsid w:val="7EF8017F"/>
    <w:rsid w:val="7F5F79B5"/>
    <w:rsid w:val="7F792BBF"/>
    <w:rsid w:val="7F7C2E8F"/>
    <w:rsid w:val="7FA6218E"/>
    <w:rsid w:val="7FB431D4"/>
    <w:rsid w:val="7FBF7FD8"/>
    <w:rsid w:val="7FC73BB4"/>
    <w:rsid w:val="7FDE04E5"/>
    <w:rsid w:val="7FF7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720" w:firstLineChars="200"/>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黑体"/>
      <w:b/>
      <w:kern w:val="44"/>
    </w:rPr>
  </w:style>
  <w:style w:type="paragraph" w:styleId="3">
    <w:name w:val="heading 2"/>
    <w:basedOn w:val="1"/>
    <w:next w:val="1"/>
    <w:link w:val="15"/>
    <w:unhideWhenUsed/>
    <w:qFormat/>
    <w:uiPriority w:val="9"/>
    <w:pPr>
      <w:keepNext/>
      <w:keepLines/>
      <w:spacing w:line="360" w:lineRule="auto"/>
      <w:outlineLvl w:val="1"/>
    </w:pPr>
    <w:rPr>
      <w:rFonts w:ascii="Arial" w:hAnsi="Arial"/>
      <w:b/>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font11"/>
    <w:basedOn w:val="6"/>
    <w:qFormat/>
    <w:uiPriority w:val="0"/>
    <w:rPr>
      <w:rFonts w:hint="eastAsia" w:ascii="仿宋_GB2312" w:eastAsia="仿宋_GB2312" w:cs="仿宋_GB2312"/>
      <w:color w:val="000000"/>
      <w:sz w:val="24"/>
      <w:szCs w:val="24"/>
      <w:u w:val="none"/>
    </w:rPr>
  </w:style>
  <w:style w:type="character" w:customStyle="1" w:styleId="12">
    <w:name w:val="font61"/>
    <w:basedOn w:val="6"/>
    <w:qFormat/>
    <w:uiPriority w:val="0"/>
    <w:rPr>
      <w:rFonts w:hint="eastAsia" w:ascii="宋体" w:hAnsi="宋体" w:eastAsia="宋体" w:cs="宋体"/>
      <w:color w:val="000000"/>
      <w:sz w:val="32"/>
      <w:szCs w:val="32"/>
      <w:u w:val="none"/>
    </w:rPr>
  </w:style>
  <w:style w:type="character" w:customStyle="1" w:styleId="13">
    <w:name w:val="font31"/>
    <w:basedOn w:val="6"/>
    <w:qFormat/>
    <w:uiPriority w:val="0"/>
    <w:rPr>
      <w:rFonts w:hint="eastAsia" w:ascii="宋体" w:hAnsi="宋体" w:eastAsia="宋体" w:cs="宋体"/>
      <w:color w:val="000000"/>
      <w:sz w:val="20"/>
      <w:szCs w:val="20"/>
      <w:u w:val="none"/>
    </w:rPr>
  </w:style>
  <w:style w:type="character" w:customStyle="1" w:styleId="14">
    <w:name w:val="font51"/>
    <w:basedOn w:val="6"/>
    <w:qFormat/>
    <w:uiPriority w:val="0"/>
    <w:rPr>
      <w:rFonts w:hint="eastAsia" w:ascii="宋体" w:hAnsi="宋体" w:eastAsia="宋体" w:cs="宋体"/>
      <w:color w:val="000000"/>
      <w:sz w:val="18"/>
      <w:szCs w:val="18"/>
      <w:u w:val="none"/>
    </w:rPr>
  </w:style>
  <w:style w:type="character" w:customStyle="1" w:styleId="15">
    <w:name w:val="标题 2 Char"/>
    <w:link w:val="3"/>
    <w:qFormat/>
    <w:uiPriority w:val="0"/>
    <w:rPr>
      <w:rFonts w:ascii="Arial" w:hAnsi="Arial" w:eastAsia="仿宋_GB2312"/>
      <w:b/>
      <w:sz w:val="30"/>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8">
    <w:name w:val="font101"/>
    <w:basedOn w:val="6"/>
    <w:qFormat/>
    <w:uiPriority w:val="0"/>
    <w:rPr>
      <w:rFonts w:hint="eastAsia" w:ascii="宋体" w:hAnsi="宋体" w:eastAsia="宋体" w:cs="宋体"/>
      <w:color w:val="000000"/>
      <w:sz w:val="32"/>
      <w:szCs w:val="32"/>
      <w:u w:val="none"/>
    </w:rPr>
  </w:style>
  <w:style w:type="character" w:customStyle="1" w:styleId="19">
    <w:name w:val="font0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chart" Target="charts/chart1.xml"/><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oleObject" Target="embeddings/oleObject1.bin"/><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[工作簿1.xlsx]Sheet2!$D$1:$D$9</c:f>
              <c:strCache>
                <c:ptCount val="9"/>
                <c:pt idx="0">
                  <c:v>维修维保费</c:v>
                </c:pt>
                <c:pt idx="1">
                  <c:v>劳务费</c:v>
                </c:pt>
                <c:pt idx="2">
                  <c:v>培训费</c:v>
                </c:pt>
                <c:pt idx="3">
                  <c:v>水电费</c:v>
                </c:pt>
                <c:pt idx="4">
                  <c:v>新增资产</c:v>
                </c:pt>
                <c:pt idx="5">
                  <c:v>“三万”及精准扶贫</c:v>
                </c:pt>
                <c:pt idx="6">
                  <c:v>办公费</c:v>
                </c:pt>
                <c:pt idx="7">
                  <c:v>邮电费</c:v>
                </c:pt>
                <c:pt idx="8">
                  <c:v>物业费</c:v>
                </c:pt>
              </c:strCache>
            </c:strRef>
          </c:cat>
          <c:val>
            <c:numRef>
              <c:f>[工作簿1.xlsx]Sheet2!$E$1:$E$9</c:f>
              <c:numCache>
                <c:formatCode>General</c:formatCode>
                <c:ptCount val="9"/>
                <c:pt idx="0">
                  <c:v>28</c:v>
                </c:pt>
                <c:pt idx="1">
                  <c:v>220</c:v>
                </c:pt>
                <c:pt idx="2">
                  <c:v>188.35</c:v>
                </c:pt>
                <c:pt idx="3">
                  <c:v>64</c:v>
                </c:pt>
                <c:pt idx="4">
                  <c:v>46.11</c:v>
                </c:pt>
                <c:pt idx="5">
                  <c:v>30</c:v>
                </c:pt>
                <c:pt idx="6">
                  <c:v>17.8</c:v>
                </c:pt>
                <c:pt idx="7">
                  <c:v>13.7</c:v>
                </c:pt>
                <c:pt idx="8">
                  <c:v>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f185b77-9182-49a1-bbbb-6612f7aa1f15}"/>
        <w:style w:val=""/>
        <w:category>
          <w:name w:val="常规"/>
          <w:gallery w:val="placeholder"/>
        </w:category>
        <w:types>
          <w:type w:val="bbPlcHdr"/>
        </w:types>
        <w:behaviors>
          <w:behavior w:val="content"/>
        </w:behaviors>
        <w:description w:val=""/>
        <w:guid w:val="{4F185B77-9182-49A1-BBBB-6612F7AA1F15}"/>
      </w:docPartPr>
      <w:docPartBody>
        <w:p>
          <w:r>
            <w:rPr>
              <w:color w:val="808080"/>
            </w:rPr>
            <w:t>单击此处输入文字。</w:t>
          </w:r>
        </w:p>
      </w:docPartBody>
    </w:docPart>
    <w:docPart>
      <w:docPartPr>
        <w:name w:val="{4c208e5c-ab83-4b4a-a3cc-10f3fb7f0538}"/>
        <w:style w:val=""/>
        <w:category>
          <w:name w:val="常规"/>
          <w:gallery w:val="placeholder"/>
        </w:category>
        <w:types>
          <w:type w:val="bbPlcHdr"/>
        </w:types>
        <w:behaviors>
          <w:behavior w:val="content"/>
        </w:behaviors>
        <w:description w:val=""/>
        <w:guid w:val="{4C208E5C-AB83-4B4A-A3CC-10F3FB7F0538}"/>
      </w:docPartPr>
      <w:docPartBody>
        <w:p>
          <w:r>
            <w:rPr>
              <w:color w:val="808080"/>
            </w:rPr>
            <w:t>单击此处输入文字。</w:t>
          </w:r>
        </w:p>
      </w:docPartBody>
    </w:docPart>
    <w:docPart>
      <w:docPartPr>
        <w:name w:val="{fa830a58-0081-4b18-a5c2-7b67577422a9}"/>
        <w:style w:val=""/>
        <w:category>
          <w:name w:val="常规"/>
          <w:gallery w:val="placeholder"/>
        </w:category>
        <w:types>
          <w:type w:val="bbPlcHdr"/>
        </w:types>
        <w:behaviors>
          <w:behavior w:val="content"/>
        </w:behaviors>
        <w:description w:val=""/>
        <w:guid w:val="{FA830A58-0081-4B18-A5C2-7B67577422A9}"/>
      </w:docPartPr>
      <w:docPartBody>
        <w:p>
          <w:r>
            <w:rPr>
              <w:color w:val="808080"/>
            </w:rPr>
            <w:t>单击此处输入文字。</w:t>
          </w:r>
        </w:p>
      </w:docPartBody>
    </w:docPart>
    <w:docPart>
      <w:docPartPr>
        <w:name w:val="{59330bd1-b96d-4d4b-b7c2-2cebaed06e77}"/>
        <w:style w:val=""/>
        <w:category>
          <w:name w:val="常规"/>
          <w:gallery w:val="placeholder"/>
        </w:category>
        <w:types>
          <w:type w:val="bbPlcHdr"/>
        </w:types>
        <w:behaviors>
          <w:behavior w:val="content"/>
        </w:behaviors>
        <w:description w:val=""/>
        <w:guid w:val="{59330BD1-B96D-4D4B-B7C2-2CEBAED06E77}"/>
      </w:docPartPr>
      <w:docPartBody>
        <w:p>
          <w:r>
            <w:rPr>
              <w:color w:val="808080"/>
            </w:rPr>
            <w:t>单击此处输入文字。</w:t>
          </w:r>
        </w:p>
      </w:docPartBody>
    </w:docPart>
    <w:docPart>
      <w:docPartPr>
        <w:name w:val="{162ec17f-810e-4159-a25a-1a9cd444bc2b}"/>
        <w:style w:val=""/>
        <w:category>
          <w:name w:val="常规"/>
          <w:gallery w:val="placeholder"/>
        </w:category>
        <w:types>
          <w:type w:val="bbPlcHdr"/>
        </w:types>
        <w:behaviors>
          <w:behavior w:val="content"/>
        </w:behaviors>
        <w:description w:val=""/>
        <w:guid w:val="{162EC17F-810E-4159-A25A-1A9CD444BC2B}"/>
      </w:docPartPr>
      <w:docPartBody>
        <w:p>
          <w:r>
            <w:rPr>
              <w:color w:val="808080"/>
            </w:rPr>
            <w:t>单击此处输入文字。</w:t>
          </w:r>
        </w:p>
      </w:docPartBody>
    </w:docPart>
    <w:docPart>
      <w:docPartPr>
        <w:name w:val="{c7002062-b89c-4c97-9e37-e2ca35a6328b}"/>
        <w:style w:val=""/>
        <w:category>
          <w:name w:val="常规"/>
          <w:gallery w:val="placeholder"/>
        </w:category>
        <w:types>
          <w:type w:val="bbPlcHdr"/>
        </w:types>
        <w:behaviors>
          <w:behavior w:val="content"/>
        </w:behaviors>
        <w:description w:val=""/>
        <w:guid w:val="{C7002062-B89C-4C97-9E37-E2CA35A6328B}"/>
      </w:docPartPr>
      <w:docPartBody>
        <w:p>
          <w:r>
            <w:rPr>
              <w:color w:val="808080"/>
            </w:rPr>
            <w:t>单击此处输入文字。</w:t>
          </w:r>
        </w:p>
      </w:docPartBody>
    </w:docPart>
    <w:docPart>
      <w:docPartPr>
        <w:name w:val="{09391ed4-df87-41f4-b036-34fb87130431}"/>
        <w:style w:val=""/>
        <w:category>
          <w:name w:val="常规"/>
          <w:gallery w:val="placeholder"/>
        </w:category>
        <w:types>
          <w:type w:val="bbPlcHdr"/>
        </w:types>
        <w:behaviors>
          <w:behavior w:val="content"/>
        </w:behaviors>
        <w:description w:val=""/>
        <w:guid w:val="{09391ED4-DF87-41F4-B036-34FB87130431}"/>
      </w:docPartPr>
      <w:docPartBody>
        <w:p>
          <w:r>
            <w:rPr>
              <w:color w:val="808080"/>
            </w:rPr>
            <w:t>单击此处输入文字。</w:t>
          </w:r>
        </w:p>
      </w:docPartBody>
    </w:docPart>
    <w:docPart>
      <w:docPartPr>
        <w:name w:val="{1bd799ca-3a57-4084-8d7e-74e697060600}"/>
        <w:style w:val=""/>
        <w:category>
          <w:name w:val="常规"/>
          <w:gallery w:val="placeholder"/>
        </w:category>
        <w:types>
          <w:type w:val="bbPlcHdr"/>
        </w:types>
        <w:behaviors>
          <w:behavior w:val="content"/>
        </w:behaviors>
        <w:description w:val=""/>
        <w:guid w:val="{1BD799CA-3A57-4084-8D7E-74E697060600}"/>
      </w:docPartPr>
      <w:docPartBody>
        <w:p>
          <w:r>
            <w:rPr>
              <w:color w:val="808080"/>
            </w:rPr>
            <w:t>单击此处输入文字。</w:t>
          </w:r>
        </w:p>
      </w:docPartBody>
    </w:docPart>
    <w:docPart>
      <w:docPartPr>
        <w:name w:val="{a42a4cb7-994f-4238-a307-e2b1a3e35704}"/>
        <w:style w:val=""/>
        <w:category>
          <w:name w:val="常规"/>
          <w:gallery w:val="placeholder"/>
        </w:category>
        <w:types>
          <w:type w:val="bbPlcHdr"/>
        </w:types>
        <w:behaviors>
          <w:behavior w:val="content"/>
        </w:behaviors>
        <w:description w:val=""/>
        <w:guid w:val="{A42A4CB7-994F-4238-A307-E2B1A3E35704}"/>
      </w:docPartPr>
      <w:docPartBody>
        <w:p>
          <w:r>
            <w:rPr>
              <w:color w:val="808080"/>
            </w:rPr>
            <w:t>单击此处输入文字。</w:t>
          </w:r>
        </w:p>
      </w:docPartBody>
    </w:docPart>
    <w:docPart>
      <w:docPartPr>
        <w:name w:val="{2241f56d-0015-4f60-8667-6f04a1e8c6e1}"/>
        <w:style w:val=""/>
        <w:category>
          <w:name w:val="常规"/>
          <w:gallery w:val="placeholder"/>
        </w:category>
        <w:types>
          <w:type w:val="bbPlcHdr"/>
        </w:types>
        <w:behaviors>
          <w:behavior w:val="content"/>
        </w:behaviors>
        <w:description w:val=""/>
        <w:guid w:val="{2241F56D-0015-4F60-8667-6F04A1E8C6E1}"/>
      </w:docPartPr>
      <w:docPartBody>
        <w:p>
          <w:r>
            <w:rPr>
              <w:color w:val="808080"/>
            </w:rPr>
            <w:t>单击此处输入文字。</w:t>
          </w:r>
        </w:p>
      </w:docPartBody>
    </w:docPart>
    <w:docPart>
      <w:docPartPr>
        <w:name w:val="{8101e1db-4135-4427-bb21-11f4f87a0812}"/>
        <w:style w:val=""/>
        <w:category>
          <w:name w:val="常规"/>
          <w:gallery w:val="placeholder"/>
        </w:category>
        <w:types>
          <w:type w:val="bbPlcHdr"/>
        </w:types>
        <w:behaviors>
          <w:behavior w:val="content"/>
        </w:behaviors>
        <w:description w:val=""/>
        <w:guid w:val="{8101E1DB-4135-4427-BB21-11F4F87A0812}"/>
      </w:docPartPr>
      <w:docPartBody>
        <w:p>
          <w:r>
            <w:rPr>
              <w:color w:val="808080"/>
            </w:rPr>
            <w:t>单击此处输入文字。</w:t>
          </w:r>
        </w:p>
      </w:docPartBody>
    </w:docPart>
    <w:docPart>
      <w:docPartPr>
        <w:name w:val="{783b199f-27bf-46b5-9f9d-00a5b6030c11}"/>
        <w:style w:val=""/>
        <w:category>
          <w:name w:val="常规"/>
          <w:gallery w:val="placeholder"/>
        </w:category>
        <w:types>
          <w:type w:val="bbPlcHdr"/>
        </w:types>
        <w:behaviors>
          <w:behavior w:val="content"/>
        </w:behaviors>
        <w:description w:val=""/>
        <w:guid w:val="{783B199F-27BF-46B5-9F9D-00A5B6030C11}"/>
      </w:docPartPr>
      <w:docPartBody>
        <w:p>
          <w:r>
            <w:rPr>
              <w:color w:val="808080"/>
            </w:rPr>
            <w:t>单击此处输入文字。</w:t>
          </w:r>
        </w:p>
      </w:docPartBody>
    </w:docPart>
    <w:docPart>
      <w:docPartPr>
        <w:name w:val="{18304e88-abb3-403e-88d6-342bf7ef8b94}"/>
        <w:style w:val=""/>
        <w:category>
          <w:name w:val="常规"/>
          <w:gallery w:val="placeholder"/>
        </w:category>
        <w:types>
          <w:type w:val="bbPlcHdr"/>
        </w:types>
        <w:behaviors>
          <w:behavior w:val="content"/>
        </w:behaviors>
        <w:description w:val=""/>
        <w:guid w:val="{18304E88-ABB3-403E-88D6-342BF7EF8B94}"/>
      </w:docPartPr>
      <w:docPartBody>
        <w:p>
          <w:r>
            <w:rPr>
              <w:color w:val="808080"/>
            </w:rPr>
            <w:t>单击此处输入文字。</w:t>
          </w:r>
        </w:p>
      </w:docPartBody>
    </w:docPart>
    <w:docPart>
      <w:docPartPr>
        <w:name w:val="{7ef0f58e-c157-49f6-a758-a891c7624c2f}"/>
        <w:style w:val=""/>
        <w:category>
          <w:name w:val="常规"/>
          <w:gallery w:val="placeholder"/>
        </w:category>
        <w:types>
          <w:type w:val="bbPlcHdr"/>
        </w:types>
        <w:behaviors>
          <w:behavior w:val="content"/>
        </w:behaviors>
        <w:description w:val=""/>
        <w:guid w:val="{7EF0F58E-C157-49F6-A758-A891C7624C2F}"/>
      </w:docPartPr>
      <w:docPartBody>
        <w:p>
          <w:r>
            <w:rPr>
              <w:color w:val="808080"/>
            </w:rPr>
            <w:t>单击此处输入文字。</w:t>
          </w:r>
        </w:p>
      </w:docPartBody>
    </w:docPart>
    <w:docPart>
      <w:docPartPr>
        <w:name w:val="{96aadd5f-5acb-4723-bdf6-53694e26a58e}"/>
        <w:style w:val=""/>
        <w:category>
          <w:name w:val="常规"/>
          <w:gallery w:val="placeholder"/>
        </w:category>
        <w:types>
          <w:type w:val="bbPlcHdr"/>
        </w:types>
        <w:behaviors>
          <w:behavior w:val="content"/>
        </w:behaviors>
        <w:description w:val=""/>
        <w:guid w:val="{96AADD5F-5ACB-4723-BDF6-53694E26A58E}"/>
      </w:docPartPr>
      <w:docPartBody>
        <w:p>
          <w:r>
            <w:rPr>
              <w:color w:val="808080"/>
            </w:rPr>
            <w:t>单击此处输入文字。</w:t>
          </w:r>
        </w:p>
      </w:docPartBody>
    </w:docPart>
    <w:docPart>
      <w:docPartPr>
        <w:name w:val="{964facae-b3cb-4422-b517-9447618f38df}"/>
        <w:style w:val=""/>
        <w:category>
          <w:name w:val="常规"/>
          <w:gallery w:val="placeholder"/>
        </w:category>
        <w:types>
          <w:type w:val="bbPlcHdr"/>
        </w:types>
        <w:behaviors>
          <w:behavior w:val="content"/>
        </w:behaviors>
        <w:description w:val=""/>
        <w:guid w:val="{964FACAE-B3CB-4422-B517-9447618F38D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9E306D"/>
    <w:rsid w:val="0048711A"/>
    <w:rsid w:val="005F023A"/>
    <w:rsid w:val="009E306D"/>
    <w:rsid w:val="00DF4E74"/>
    <w:rsid w:val="00FD3F01"/>
    <w:rsid w:val="00FE3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1453</Words>
  <Characters>8286</Characters>
  <Lines>69</Lines>
  <Paragraphs>19</Paragraphs>
  <TotalTime>5</TotalTime>
  <ScaleCrop>false</ScaleCrop>
  <LinksUpToDate>false</LinksUpToDate>
  <CharactersWithSpaces>9720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2018-03-23T09:11:00Z</dcterms:created>
  <dc:creator>冯妍妍/预算绩效管理处（行资处）/湖北省财政厅</dc:creator>
  <cp:lastModifiedBy>近未来1416066386</cp:lastModifiedBy>
  <cp:lastPrinted>2018-03-29T08:09:00Z</cp:lastPrinted>
  <dcterms:modified xsi:type="dcterms:W3CDTF">2018-09-26T07:50:51Z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